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b/>
          <w:bCs/>
          <w:sz w:val="36"/>
          <w:szCs w:val="36"/>
          <w:lang w:val="en-US" w:eastAsia="zh-CN"/>
        </w:rPr>
      </w:pPr>
      <w:r>
        <w:rPr>
          <w:rFonts w:hint="eastAsia" w:ascii="宋体" w:hAnsi="宋体"/>
          <w:b/>
          <w:bCs/>
          <w:sz w:val="36"/>
          <w:szCs w:val="36"/>
          <w:lang w:val="en-US" w:eastAsia="zh-CN"/>
        </w:rPr>
        <w:t>大孔径24排CT采购需求</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b/>
          <w:bCs/>
          <w:sz w:val="24"/>
          <w:szCs w:val="2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1" w:firstLineChars="200"/>
        <w:jc w:val="both"/>
        <w:textAlignment w:val="auto"/>
        <w:rPr>
          <w:rFonts w:hint="eastAsia" w:ascii="宋体" w:hAnsi="宋体" w:cs="Times New Roman"/>
          <w:b/>
          <w:bCs/>
          <w:sz w:val="24"/>
          <w:szCs w:val="24"/>
          <w:lang w:val="en-US" w:eastAsia="zh-CN"/>
        </w:rPr>
      </w:pPr>
      <w:r>
        <w:rPr>
          <w:rFonts w:hint="eastAsia" w:ascii="宋体" w:hAnsi="宋体" w:cs="Times New Roman"/>
          <w:b/>
          <w:bCs/>
          <w:sz w:val="24"/>
          <w:szCs w:val="24"/>
          <w:lang w:val="en-US" w:eastAsia="zh-CN"/>
        </w:rPr>
        <w:t>一、</w:t>
      </w:r>
      <w:r>
        <w:rPr>
          <w:rFonts w:hint="eastAsia" w:ascii="宋体" w:hAnsi="宋体" w:cs="Times New Roman"/>
          <w:b/>
          <w:bCs/>
          <w:sz w:val="24"/>
          <w:szCs w:val="24"/>
        </w:rPr>
        <w:t>采购项目名称</w:t>
      </w:r>
      <w:r>
        <w:rPr>
          <w:rFonts w:hint="eastAsia" w:ascii="宋体" w:hAnsi="宋体" w:cs="Times New Roman"/>
          <w:b/>
          <w:bCs/>
          <w:sz w:val="24"/>
          <w:szCs w:val="24"/>
          <w:lang w:eastAsia="zh-CN"/>
        </w:rPr>
        <w:t>：</w:t>
      </w:r>
      <w:r>
        <w:rPr>
          <w:rFonts w:hint="eastAsia" w:ascii="宋体" w:hAnsi="宋体" w:cs="Times New Roman"/>
          <w:b/>
          <w:bCs/>
          <w:sz w:val="24"/>
          <w:szCs w:val="24"/>
          <w:lang w:val="en-US" w:eastAsia="zh-CN"/>
        </w:rPr>
        <w:t>大孔径定位CT（大孔径CT模拟定位机）</w:t>
      </w:r>
    </w:p>
    <w:p>
      <w:pPr>
        <w:keepNext w:val="0"/>
        <w:keepLines w:val="0"/>
        <w:pageBreakBefore w:val="0"/>
        <w:widowControl w:val="0"/>
        <w:kinsoku/>
        <w:wordWrap/>
        <w:overflowPunct/>
        <w:topLinePunct w:val="0"/>
        <w:autoSpaceDE/>
        <w:autoSpaceDN/>
        <w:bidi w:val="0"/>
        <w:adjustRightInd w:val="0"/>
        <w:snapToGrid w:val="0"/>
        <w:spacing w:line="400" w:lineRule="exact"/>
        <w:ind w:firstLine="481" w:firstLineChars="200"/>
        <w:jc w:val="both"/>
        <w:textAlignment w:val="auto"/>
        <w:rPr>
          <w:rFonts w:hint="eastAsia" w:ascii="宋体" w:hAnsi="宋体" w:cs="Times New Roman"/>
          <w:b/>
          <w:bCs/>
          <w:sz w:val="24"/>
          <w:szCs w:val="24"/>
        </w:rPr>
      </w:pPr>
      <w:r>
        <w:rPr>
          <w:rFonts w:hint="eastAsia" w:ascii="宋体" w:hAnsi="宋体" w:cs="Times New Roman"/>
          <w:b/>
          <w:bCs/>
          <w:sz w:val="24"/>
          <w:szCs w:val="24"/>
          <w:lang w:val="en-US" w:eastAsia="zh-CN"/>
        </w:rPr>
        <w:t>二、</w:t>
      </w:r>
      <w:r>
        <w:rPr>
          <w:rFonts w:hint="eastAsia" w:ascii="宋体" w:hAnsi="宋体"/>
          <w:b/>
          <w:bCs/>
          <w:color w:val="auto"/>
          <w:sz w:val="24"/>
          <w:szCs w:val="24"/>
          <w:highlight w:val="none"/>
          <w:lang w:val="en-US" w:eastAsia="zh-CN"/>
        </w:rPr>
        <w:t>采购预算/</w:t>
      </w:r>
      <w:r>
        <w:rPr>
          <w:rFonts w:hint="eastAsia" w:ascii="宋体" w:hAnsi="宋体" w:cs="Times New Roman"/>
          <w:b/>
          <w:bCs/>
          <w:sz w:val="24"/>
          <w:szCs w:val="24"/>
        </w:rPr>
        <w:t>数量</w:t>
      </w:r>
    </w:p>
    <w:p>
      <w:pPr>
        <w:keepNext w:val="0"/>
        <w:keepLines w:val="0"/>
        <w:pageBreakBefore w:val="0"/>
        <w:widowControl w:val="0"/>
        <w:kinsoku/>
        <w:wordWrap/>
        <w:overflowPunct/>
        <w:topLinePunct w:val="0"/>
        <w:autoSpaceDE/>
        <w:autoSpaceDN/>
        <w:bidi w:val="0"/>
        <w:adjustRightInd w:val="0"/>
        <w:snapToGrid w:val="0"/>
        <w:spacing w:line="400" w:lineRule="exact"/>
        <w:ind w:firstLine="481" w:firstLineChars="200"/>
        <w:jc w:val="both"/>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三、</w:t>
      </w:r>
      <w:r>
        <w:rPr>
          <w:rFonts w:hint="eastAsia" w:ascii="宋体" w:hAnsi="宋体"/>
          <w:b/>
          <w:bCs/>
          <w:sz w:val="24"/>
          <w:szCs w:val="24"/>
          <w:lang w:val="en-US" w:eastAsia="zh-CN"/>
        </w:rPr>
        <w:t>所有参数不得负偏离。</w:t>
      </w:r>
    </w:p>
    <w:p>
      <w:pPr>
        <w:spacing w:line="360" w:lineRule="auto"/>
        <w:ind w:firstLine="481" w:firstLineChars="200"/>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四、</w:t>
      </w:r>
      <w:r>
        <w:rPr>
          <w:rFonts w:hint="eastAsia" w:ascii="宋体" w:hAnsi="宋体"/>
          <w:b/>
          <w:bCs/>
          <w:color w:val="auto"/>
          <w:sz w:val="24"/>
          <w:szCs w:val="24"/>
          <w:highlight w:val="none"/>
        </w:rPr>
        <w:t>用途的简要说明</w:t>
      </w:r>
      <w:r>
        <w:rPr>
          <w:rFonts w:hint="eastAsia" w:ascii="宋体" w:hAnsi="宋体"/>
          <w:b/>
          <w:bCs/>
          <w:color w:val="auto"/>
          <w:sz w:val="24"/>
          <w:szCs w:val="24"/>
          <w:highlight w:val="none"/>
          <w:lang w:eastAsia="zh-CN"/>
        </w:rPr>
        <w:t>：</w:t>
      </w:r>
    </w:p>
    <w:p>
      <w:pPr>
        <w:spacing w:line="360" w:lineRule="auto"/>
        <w:ind w:firstLine="480" w:firstLineChars="200"/>
        <w:rPr>
          <w:rFonts w:hint="eastAsia" w:ascii="宋体" w:hAnsi="宋体" w:cs="Times New Roman"/>
          <w:b/>
          <w:bCs/>
          <w:color w:val="auto"/>
          <w:sz w:val="24"/>
          <w:szCs w:val="24"/>
          <w:highlight w:val="none"/>
          <w:lang w:val="en-US" w:eastAsia="zh-CN"/>
        </w:rPr>
      </w:pPr>
      <w:r>
        <w:rPr>
          <w:rFonts w:hint="eastAsia" w:ascii="宋体" w:hAnsi="宋体"/>
          <w:b w:val="0"/>
          <w:bCs w:val="0"/>
          <w:color w:val="auto"/>
          <w:sz w:val="24"/>
          <w:szCs w:val="24"/>
          <w:highlight w:val="none"/>
          <w:lang w:eastAsia="zh-CN"/>
        </w:rPr>
        <w:t>用于放疗前的患者定位和影像获取</w:t>
      </w:r>
      <w:r>
        <w:rPr>
          <w:rFonts w:hint="eastAsia" w:ascii="宋体" w:hAnsi="宋体"/>
          <w:b w:val="0"/>
          <w:bCs w:val="0"/>
          <w:color w:val="auto"/>
          <w:sz w:val="24"/>
          <w:szCs w:val="24"/>
          <w:highlight w:val="none"/>
          <w:lang w:val="en-US" w:eastAsia="zh-CN"/>
        </w:rPr>
        <w:t>的</w:t>
      </w:r>
      <w:r>
        <w:rPr>
          <w:rFonts w:hint="eastAsia" w:ascii="宋体" w:hAnsi="宋体"/>
          <w:b w:val="0"/>
          <w:bCs w:val="0"/>
          <w:color w:val="auto"/>
          <w:sz w:val="24"/>
          <w:szCs w:val="24"/>
          <w:highlight w:val="none"/>
          <w:lang w:eastAsia="zh-CN"/>
        </w:rPr>
        <w:t>诊断和相关科研，模拟定位CT需要采用为放疗科专门设计的大孔径CT机，以便容纳放疗定位中使用的各种专用定位辅助装置，如乳腺托架、腹板等，以满足放疗定位所有特殊</w:t>
      </w:r>
      <w:bookmarkStart w:id="0" w:name="_GoBack"/>
      <w:bookmarkEnd w:id="0"/>
      <w:r>
        <w:rPr>
          <w:rFonts w:hint="eastAsia" w:ascii="宋体" w:hAnsi="宋体"/>
          <w:b w:val="0"/>
          <w:bCs w:val="0"/>
          <w:color w:val="auto"/>
          <w:sz w:val="24"/>
          <w:szCs w:val="24"/>
          <w:highlight w:val="none"/>
          <w:lang w:eastAsia="zh-CN"/>
        </w:rPr>
        <w:t>体位的扫描要求。此外，模拟定位CT还需要安装三维激光灯定位系统，以确保患者在模拟扫描和实际放疗时保持相同的体位和姿势，从而提高放疗的精准度。</w:t>
      </w:r>
    </w:p>
    <w:p>
      <w:pPr>
        <w:numPr>
          <w:ilvl w:val="0"/>
          <w:numId w:val="0"/>
        </w:numPr>
        <w:spacing w:line="360" w:lineRule="auto"/>
        <w:ind w:firstLine="481" w:firstLineChars="200"/>
        <w:rPr>
          <w:rFonts w:hint="default" w:ascii="宋体" w:hAnsi="宋体"/>
          <w:b w:val="0"/>
          <w:bCs w:val="0"/>
          <w:color w:val="auto"/>
          <w:sz w:val="24"/>
          <w:szCs w:val="24"/>
          <w:highlight w:val="none"/>
          <w:lang w:val="en-US" w:eastAsia="zh-CN"/>
        </w:rPr>
      </w:pPr>
      <w:r>
        <w:rPr>
          <w:rFonts w:hint="eastAsia" w:ascii="宋体" w:hAnsi="宋体" w:cs="Times New Roman"/>
          <w:b/>
          <w:bCs/>
          <w:color w:val="auto"/>
          <w:sz w:val="24"/>
          <w:szCs w:val="24"/>
          <w:highlight w:val="none"/>
          <w:lang w:val="en-US" w:eastAsia="zh-CN"/>
        </w:rPr>
        <w:t>五、资格条件</w:t>
      </w:r>
      <w:r>
        <w:rPr>
          <w:rFonts w:hint="eastAsia" w:ascii="宋体" w:hAnsi="宋体"/>
          <w:b w:val="0"/>
          <w:bCs w:val="0"/>
          <w:color w:val="auto"/>
          <w:sz w:val="24"/>
          <w:szCs w:val="24"/>
          <w:highlight w:val="none"/>
          <w:lang w:val="en-US" w:eastAsia="zh-CN"/>
        </w:rPr>
        <w:t>：</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1、基本资格条件：</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（1）具有独立承担民事责任的能力；</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（2）具有良好的商业信誉和健全的财务会计制度；</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（3）具有履行合同所必需的设备和专业技术能力；</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（4）有依法缴纳税收和社会保障资金的良好记录；</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（5）参加政府采购活动前三年内，在经营活动中没有重大违法记录；</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（6）法律、行政法规规定的其他条件。</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备注：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2、特定资格条件：</w:t>
      </w:r>
    </w:p>
    <w:p>
      <w:pPr>
        <w:spacing w:line="360" w:lineRule="auto"/>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（1）所投产品如纳入医疗器械管理的，供应商必须具备食品药品监督管理部门颁发的医疗器械经营企业许可证复印件；</w:t>
      </w:r>
    </w:p>
    <w:p>
      <w:pPr>
        <w:spacing w:line="360" w:lineRule="auto"/>
        <w:ind w:firstLine="480" w:firstLineChars="200"/>
        <w:rPr>
          <w:rFonts w:hint="eastAsia" w:ascii="宋体" w:hAnsi="宋体" w:cs="Times New Roman"/>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（2）所投产品如纳入医疗器械管理的，该设备必须具备食品药品监督管理部门颁发的医疗器械备案凭证（一类）或医疗器械注册证（二、三类）复印件。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1" w:firstLineChars="200"/>
        <w:textAlignment w:val="auto"/>
        <w:rPr>
          <w:rFonts w:hint="eastAsia" w:ascii="宋体" w:hAnsi="宋体"/>
          <w:b/>
          <w:bCs/>
          <w:color w:val="auto"/>
          <w:sz w:val="24"/>
          <w:szCs w:val="24"/>
          <w:highlight w:val="none"/>
        </w:rPr>
      </w:pPr>
      <w:r>
        <w:rPr>
          <w:rFonts w:hint="eastAsia" w:ascii="宋体" w:hAnsi="宋体" w:cs="Times New Roman"/>
          <w:b/>
          <w:bCs/>
          <w:color w:val="auto"/>
          <w:sz w:val="24"/>
          <w:szCs w:val="24"/>
          <w:highlight w:val="none"/>
          <w:lang w:val="en-US" w:eastAsia="zh-CN"/>
        </w:rPr>
        <w:t>六、</w:t>
      </w:r>
      <w:r>
        <w:rPr>
          <w:rFonts w:hint="eastAsia" w:ascii="宋体" w:hAnsi="宋体" w:cs="Times New Roman"/>
          <w:b/>
          <w:bCs/>
          <w:color w:val="auto"/>
          <w:sz w:val="24"/>
          <w:szCs w:val="24"/>
          <w:highlight w:val="none"/>
        </w:rPr>
        <w:t>技术规格、参数与要求（含技术文件、图纸、标准、货物工作条件、环境要求等）</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 机架系统</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1.1.1 机架物理孔径≥80cm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 滑环类型：低压滑环</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1.1.3 数据传输方式：射频信号传递</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1.1.4 探测器类型：各厂家提供最先进探测器技术。</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1.1.5 探测器物理排数≥24排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1.1.6 每排探测器物理通道个数≥800个</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1.1.7 探测器Z轴在等中心覆盖宽度≥20mm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1.1.8 冷却方式：风冷或水冷</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1.2. 扫描床</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1.2.1 床面水平移动范围≥160cm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1.2.2 最大扫描范围≥1350mm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1.2.3 床面最大水平移动速度≥120mm/秒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1.2.4 床面垂直升降范围≥42cm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1.2.5 最大垂直移床速度≥28mm/秒</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1.2.6 床面最大承重≥240KG（符合AAPM-TG66放疗标准条件下）</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1.2.7 提供放疗专用碳纤维模拟定位平板床面</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1.2.8 水平进床精度≤1mm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1.2.9 垂直升降精度≤1mm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1.3. X线系统</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1.3.1 高压发生率功率(非等效）≥75KW</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1.3.2 球管热容量（非等效值）≥7MHU</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1.3.3 球管阳极最大散热率（非等效）≥1600KHu/分钟</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1.3.4 球管小焦点：≤0.8×1.0mm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1.3.5 球管大焦点：≤1.0×1.2mm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1.3.6 最大球管电流（非等效）：≥650mA</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1.3.7 最大球管电压≥140KV</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1.3.8 最小球管电压≤80KV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1.3.9 电压可调节档位≥4档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1.3.10 球管保用时间：≥1年</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1.4. 控制台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1.4.1 控制台：提供最新版本控制台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1.4.2 控制台内存≥16GB</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1.4.3 图像存储量：≥400,000幅</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1.4.4 液晶超薄平面显示器≥19寸： 分辨率≥1280X1024</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1.4.5 同步并行处理功能：扫描、重建、显示、存储、打印等操作可同步进行</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1.4.6 自动病人呼吸屏气辅助控制系统，双向语音传输</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1.4.7 并行重建功能：并行处理多种模式的图像的重建与重组，可以在一个扫描方案中预置和完成不同算法的重建任务</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1.4.8 图像光盘存储系统CD-RW（DICOM兼容）</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1.4.9 提供厂家最新影像迭代重建算法，并请说明；</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1.4.10 可以独立完成MPR，SSD，MIP三维容积等重建功能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1.5. 扫描参数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1.5.1 快扫描速度：≤0.5sec/360°</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1.5.2 每360°扫描成像速度：≥16层图像/360°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1.5.3 32层扫描模式下最薄螺旋扫描层厚：≤0.625mm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1.5.4 图像重建速度：≥23幅/秒（512×512矩阵）</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1.5.5 最大真实扫描视野：≥50cm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1.5.6 最大显示野EFOV≥70cm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1.5.7 最小显示视野：≤5cm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1.5.8 图像重建矩阵：≥1024×1024</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 xml:space="preserve">1.5.9 单次螺旋连续扫描时间：≥120秒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1.5.10 提供快速扫描协议集成方案</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1.5.11 肺部等组织结构的范围自动识别，将剂量降到最低</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1.6. 图像质量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1.6.1 空间分辨率(10%MTF)：≥13 LP/cm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1.6.2 低密度分辨率：≤5mm@0.3%≤12mGy, 20cm体模</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 xml:space="preserve">1.6.3 CT值范围：－1024到＋30000 </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1.7. 临床应用技术</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 MPR，曲面重建MPR (Curved MPR)</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1.7.2 具备三维软件</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1.7.3 射线投影显示功能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1.7.4 三维容积测量评估功能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1.7.5 三维容积漫游软件和组织器官的彩色容积重建与显示</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1.7.6 容积透明重建功能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1.7.7 最大密度投影成像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1.7.8 最小密度投影成像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1.7.9 多平面容积重建成像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1.7.10 造影剂自动跟踪功能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1.7.11 儿童低剂量功能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1.7.12 最新微幅射影像重建功能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1.7.13 四维及门控扫描相关功能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1.7.14 放疗模拟定位功能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1.7.15 提供危及器官自动勾画功能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1.7.16 自动勾画端口不限制加速器联通数量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1.8. 呼吸门控扫描,要求能够实现4D CT扫描功能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1.8.1 提供呼吸门控绑带及所有4D接口，可实施4DCT采集，并说明具体解决方案</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1.8.2 可基于呼吸幅度和呼吸相位，重建4D动态电影、最大密度投影、最小密度投影及平均密度投影图像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1.8.3 4D扫描最长连续扫描时间≥120s</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1.9. 提供基于光学体表成像的呼吸门控系统软硬件以及接口（费用包含在投标总价中）：</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1.9.1 能进行标准数据传输(包括DICOM文件传输)；</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1.9.2 能与主流计划系统(Eclipse、Pinnacle、 RayStation、 Monaco等)进行完整数据的传输</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1.10. 质控模体</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1.10.1 提供配套CT模拟定位设备校准专用模体，模体分头部和体部单独设计</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1.10.2 可校准CT值准确性</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1.10.3 可测试CT影像质量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1.10.4 可校准内置激光灯和扫描平面一致性</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1.10.5 可测试外部定位激光精度</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1.10.6 可测试治疗床水平度</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1.10.7 可测试治疗床扫描图像时的走位精度</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1.10.8 提供配套CT质控软件，并可自动生成检测报告</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1.11. 放疗体位固定装置</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1.11.1 兼容性要求：满足CT模拟定位及放疗实施同一体位固定要求</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1.11.2 一体化多功能固定架1套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1.11.2.1 材质：全碳素纤维</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1.11.2.2 长度：≥124cm，宽度：≥54cm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1.11.2.3 用于头颈部、颈胸部、乳腺、体部仰卧体位固定</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1.11.2.4 适配SRS体架膜片耗材包20套，适配多功能体架压腹定位膜(加气囊）20张</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1.11.3 手臂支撑架2个</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1.11.3.1 主要材质：碳纤维底板</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1.11.4 俯卧盆腔泡棉组件4套（其中至少1套为核磁兼容材质）</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1.11.4.1 材质：工程塑料+EVA泡绵</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1.11.5 腿部支撑装置2个</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1.11.5.1 由有机玻璃底板及膝部软垫组成</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1.11.6 头部立体定向固定组件2套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1.11.6.1 其中主体为碳纤维材质</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1.11.6.3 每套固定组件配置包含：SRS头架+头枕一个+可更换边框一个</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1.11.7 SBRT专用固定装置1套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1.11.7.1 底板为碳纤维材质，用于SBRT定位和治疗实施体位固定</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1.11.7.2 配置胸部、腿部弓形尺和压腹装置等，卡扣式拆装设计，四档高度可调</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1.11.8 S型碳纤维一体化固定架1套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1.11.8.1 适用于全身固定，底座为碳纤维材质</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1.11.8.2 长度≥125cm，肩部宽≥61cm；体部宽≥50cm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1.12. 第三方产品</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 配置激光定位系统1套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1.12.1.1 激光灯源≥5个，灯源可移动</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1.12.1.2 定位精度：≤±0.1mm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1.12.1.3 激光线颜色：红色或绿色</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1.12.1.4 具备自动调整和自动校准功能</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1.12.1.5 移动距离≥540mm</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1.12.2 配置原厂TG66碳纤维床板 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1.12.3 配置专用CT激光灯质控模体TG66模体 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 配备高压注射器1台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1.12.4.1 信号传输：无线蓝牙或有线传输；</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1.12.4.2 注射速度：≥0.1-10mL/s，增量0.1mL/s；</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1.12.4.3 针筒容量：≥150 mL；</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1.12.4.4 实时/历史压力检测</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1.12.4.5 一键式激活自动吸药功能</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1.12.4.6 针筒保温</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1.12.4.7 角度安全监测</w:t>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1.12.4.8 造影剂用量/余量显示</w:t>
      </w:r>
      <w:r>
        <w:rPr>
          <w:rFonts w:hint="eastAsia" w:ascii="宋体" w:hAnsi="宋体" w:eastAsia="宋体" w:cs="Times New Roman"/>
          <w:b w:val="0"/>
          <w:bCs w:val="0"/>
          <w:color w:val="auto"/>
          <w:kern w:val="2"/>
          <w:sz w:val="24"/>
          <w:szCs w:val="24"/>
          <w:highlight w:val="none"/>
          <w:lang w:val="en-US" w:eastAsia="zh-CN" w:bidi="ar-SA"/>
        </w:rPr>
        <w:tab/>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1.12.5 示波仪1套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1.12.6 空盒气压表1套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1.12.7 温湿度计1套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1.12.8 水平尺1把</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1.12.9 恒温水箱1台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1.12.10 场地报警仪1台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1.12.11 制膜工具1套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1.12.12 膀胱容量测量仪1套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1.12.13 放疗专用图章1套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1.12.14 标记铅粒10盒</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1.12.15 定位专用防水防脱色记号笔50盒</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1.12.16 专用操作台和专用操作椅2套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1.12.17 防护设备（铅衣、铅围裙、铅帽、铅围脖、铅眼镜等） 2套</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1.12.18 ≥30分钟的主控系统不间断电源1台</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2.1 具备放疗模拟定位功能，提供注册证佐证：注册证适用范围有“放疗模拟定位”或“图像可用于放射治疗的模拟和计划”“可为放疗计划提供图像”相关内容；且设备需具备合法销售的有关文件，具备NMPA、FDA和CE认证。</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2.2 能实现三维和四维CT定位扫描及重建。</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2.3 CT核心部件(球管、探测器）与CT机为同品牌研发生产。（注：以下两项需同时提供：1.提供相关部件品牌清单。2.提供所投设备测试报告或产品彩页或说明书或官网截图及链接，且所提供的证明材料需明确包含且符合本条款内容，否则视为投标人未实质性响应本条款。）</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2.4 设备应具有良好的兼容性，能很好与瓦里安或医科达加速器，Eclipse计划系统或Monaco计划系统和ARIA放疗网络配套，与国际标准信息传输协议（如DICOM3.0，DICOM RT，HL7等）兼容。</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2.5 提供并开放连接第三方呼吸门控系统包括光学体表的软硬件接口，包括但不限于：VARIAN RPM、VARIAN RGSC、C-RAD Sentinel，AlignRT，医科达ABC等实现呼吸关联成像。</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val="0"/>
          <w:bCs w:val="0"/>
          <w:color w:val="auto"/>
          <w:kern w:val="2"/>
          <w:sz w:val="24"/>
          <w:szCs w:val="24"/>
          <w:highlight w:val="none"/>
          <w:lang w:val="en-US" w:eastAsia="zh-CN" w:bidi="ar-SA"/>
        </w:rPr>
      </w:pPr>
    </w:p>
    <w:p>
      <w:pPr>
        <w:ind w:firstLine="481" w:firstLineChars="200"/>
        <w:rPr>
          <w:rFonts w:hint="eastAsia" w:ascii="宋体" w:hAnsi="宋体" w:cs="宋体"/>
          <w:b/>
          <w:bCs/>
          <w:sz w:val="24"/>
        </w:rPr>
      </w:pPr>
      <w:r>
        <w:rPr>
          <w:rFonts w:hint="eastAsia" w:ascii="宋体" w:hAnsi="宋体" w:eastAsia="宋体" w:cs="Times New Roman"/>
          <w:b/>
          <w:bCs/>
          <w:color w:val="auto"/>
          <w:kern w:val="2"/>
          <w:sz w:val="24"/>
          <w:szCs w:val="24"/>
          <w:highlight w:val="none"/>
          <w:lang w:val="en-US" w:eastAsia="zh-CN" w:bidi="ar-SA"/>
        </w:rPr>
        <w:t>七、安装调试及技术服务要求：</w:t>
      </w:r>
    </w:p>
    <w:p>
      <w:pPr>
        <w:ind w:firstLine="480" w:firstLineChars="200"/>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本项目为交钥匙工程，中标人须遵循国家现行相关验收标准,安全规范及防护要求，完成设备正常运行的资格条件、放射防护屏蔽、水电网照明等配套，该项内容所产生的一切费用包含在投标总价中，采购人不再额外支付任何费用。</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宋体" w:hAnsi="宋体" w:eastAsia="宋体" w:cs="Times New Roman"/>
          <w:b w:val="0"/>
          <w:bCs w:val="0"/>
          <w:color w:val="auto"/>
          <w:kern w:val="2"/>
          <w:sz w:val="24"/>
          <w:szCs w:val="24"/>
          <w:highlight w:val="none"/>
          <w:lang w:val="en-US" w:eastAsia="zh-CN" w:bidi="ar-SA"/>
        </w:rPr>
        <w:t>2、中标人派人安装，负责调试。在接到采购人通知后7日内到达采购人指定安装地点，中标人安装调试设备各项技术性能、指标必须达到招标文件、购销合同（包括相关附件）和技术文件规定的要求，设备的安装，调试和验收必须符合中国和国际通行的有关规定和标准，并由使用单位等部门签署安装验收报告后方可生效。</w:t>
      </w: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Times New Roman"/>
          <w:b/>
          <w:bCs/>
          <w:color w:val="auto"/>
          <w:kern w:val="2"/>
          <w:sz w:val="24"/>
          <w:szCs w:val="24"/>
          <w:highlight w:val="none"/>
          <w:lang w:val="en-US" w:eastAsia="zh-CN" w:bidi="ar-SA"/>
        </w:rPr>
      </w:pPr>
    </w:p>
    <w:p>
      <w:pPr>
        <w:pStyle w:val="16"/>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八、售后服务要求: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1、提供仪器安装、调试，安装调试时提供现场演示操作、数据处理等培训；</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2、质保期：整机（含球管）保修≥3年（安装验收合格后计算）。（投标人需提供承诺函，合同签订前须向采购人提供所投设备原厂维保承诺函）</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3、质保期后，终身维修，提供原厂零部件供应；</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4、维修响应时间：设备出现问题投标人应在2小时内响应，提供技术支持；省内24小时内到达现场维修，开机率≥95％（按日历日计算）；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Times New Roman"/>
          <w:b w:val="0"/>
          <w:bCs w:val="0"/>
          <w:color w:val="auto"/>
          <w:kern w:val="2"/>
          <w:sz w:val="24"/>
          <w:szCs w:val="24"/>
          <w:highlight w:val="none"/>
          <w:lang w:val="en-US" w:eastAsia="zh-CN" w:bidi="ar-SA"/>
        </w:rPr>
        <w:t>5、每年定期回访巡检及维护保养2次以上。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default" w:ascii="宋体" w:hAnsi="宋体" w:eastAsia="宋体" w:cs="Times New Roman"/>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 xml:space="preserve">   </w:t>
      </w:r>
      <w:r>
        <w:rPr>
          <w:rFonts w:hint="eastAsia" w:ascii="宋体" w:hAnsi="宋体" w:eastAsia="宋体" w:cs="Times New Roman"/>
          <w:b/>
          <w:bCs/>
          <w:color w:val="auto"/>
          <w:kern w:val="2"/>
          <w:sz w:val="24"/>
          <w:szCs w:val="24"/>
          <w:highlight w:val="none"/>
          <w:lang w:val="en-US" w:eastAsia="zh-CN" w:bidi="ar-SA"/>
        </w:rPr>
        <w:t xml:space="preserve"> 九、商务条款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    1、交货时间：合同签订约定时间内；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2、交货地点：采购人指定地点；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jc w:val="both"/>
        <w:textAlignment w:val="auto"/>
        <w:rPr>
          <w:rFonts w:hint="eastAsia" w:ascii="宋体" w:hAnsi="宋体"/>
          <w:b/>
          <w:color w:val="auto"/>
          <w:sz w:val="32"/>
          <w:szCs w:val="32"/>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付款方式：合同签订后，中标人15个工作日内提供合同金额70%的银行保函给予采购人，采购人即支付70%合同金额，设备安装验收合格后，采购人退回中标人银行保函，按付款流程及双方合同约定支付至合同金额的95%款项，余款5%在验收合格使用一年后保修期内分批次支付。</w:t>
      </w:r>
    </w:p>
    <w:p>
      <w:pPr>
        <w:spacing w:line="440" w:lineRule="exact"/>
        <w:jc w:val="both"/>
        <w:rPr>
          <w:rFonts w:hint="default" w:ascii="宋体" w:hAnsi="宋体"/>
          <w:b/>
          <w:sz w:val="32"/>
          <w:szCs w:val="32"/>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YmVjNmY2Yjg2NDhiMjMyZjg0MDAxNTA1M2U3NGEifQ=="/>
  </w:docVars>
  <w:rsids>
    <w:rsidRoot w:val="00000000"/>
    <w:rsid w:val="003362FB"/>
    <w:rsid w:val="006C4C51"/>
    <w:rsid w:val="00A4662D"/>
    <w:rsid w:val="01125E09"/>
    <w:rsid w:val="01BB42A4"/>
    <w:rsid w:val="01C012ED"/>
    <w:rsid w:val="04446205"/>
    <w:rsid w:val="04BE107C"/>
    <w:rsid w:val="04D8715C"/>
    <w:rsid w:val="06E64DB5"/>
    <w:rsid w:val="093323A4"/>
    <w:rsid w:val="0A073F5D"/>
    <w:rsid w:val="0B9F786A"/>
    <w:rsid w:val="0C3C2FC0"/>
    <w:rsid w:val="0C3D3456"/>
    <w:rsid w:val="0CBF399B"/>
    <w:rsid w:val="0D5648B3"/>
    <w:rsid w:val="0D59215C"/>
    <w:rsid w:val="0E574CE7"/>
    <w:rsid w:val="0EC20452"/>
    <w:rsid w:val="10E165E5"/>
    <w:rsid w:val="126D6927"/>
    <w:rsid w:val="12AD766B"/>
    <w:rsid w:val="13BB1914"/>
    <w:rsid w:val="146A6CF7"/>
    <w:rsid w:val="156102B8"/>
    <w:rsid w:val="15B92460"/>
    <w:rsid w:val="15CE3B81"/>
    <w:rsid w:val="162C08A7"/>
    <w:rsid w:val="166249BB"/>
    <w:rsid w:val="18F30CF2"/>
    <w:rsid w:val="19A2611B"/>
    <w:rsid w:val="1E8D632A"/>
    <w:rsid w:val="1EBB1886"/>
    <w:rsid w:val="20E83230"/>
    <w:rsid w:val="21CD5EF1"/>
    <w:rsid w:val="234C4337"/>
    <w:rsid w:val="238E0DF3"/>
    <w:rsid w:val="24576AE9"/>
    <w:rsid w:val="24C22B02"/>
    <w:rsid w:val="25FC717A"/>
    <w:rsid w:val="26123616"/>
    <w:rsid w:val="264627C0"/>
    <w:rsid w:val="26CA0394"/>
    <w:rsid w:val="26D51168"/>
    <w:rsid w:val="278009A3"/>
    <w:rsid w:val="28BE5CD7"/>
    <w:rsid w:val="28EF5E90"/>
    <w:rsid w:val="295549E3"/>
    <w:rsid w:val="29556448"/>
    <w:rsid w:val="29804D3A"/>
    <w:rsid w:val="2A7D74CC"/>
    <w:rsid w:val="2BBE1284"/>
    <w:rsid w:val="2BFC6D89"/>
    <w:rsid w:val="2C891C4F"/>
    <w:rsid w:val="2D007EFF"/>
    <w:rsid w:val="2F0957D2"/>
    <w:rsid w:val="2F7B66D0"/>
    <w:rsid w:val="302D4B96"/>
    <w:rsid w:val="30546158"/>
    <w:rsid w:val="32F305A2"/>
    <w:rsid w:val="34BC0CC0"/>
    <w:rsid w:val="35FC7E3E"/>
    <w:rsid w:val="36A77DAA"/>
    <w:rsid w:val="38763ED8"/>
    <w:rsid w:val="38DD7AB3"/>
    <w:rsid w:val="390803CE"/>
    <w:rsid w:val="3950297B"/>
    <w:rsid w:val="3A113CE5"/>
    <w:rsid w:val="3B173D26"/>
    <w:rsid w:val="3C143F49"/>
    <w:rsid w:val="3CD73072"/>
    <w:rsid w:val="3E8F30B2"/>
    <w:rsid w:val="40ED6414"/>
    <w:rsid w:val="411F73C9"/>
    <w:rsid w:val="42181B5C"/>
    <w:rsid w:val="42F85F3D"/>
    <w:rsid w:val="43100E25"/>
    <w:rsid w:val="44213AA0"/>
    <w:rsid w:val="44B6565C"/>
    <w:rsid w:val="45AF0A29"/>
    <w:rsid w:val="45C45096"/>
    <w:rsid w:val="46C00CFB"/>
    <w:rsid w:val="46EB5A91"/>
    <w:rsid w:val="476F0BC1"/>
    <w:rsid w:val="47A520E4"/>
    <w:rsid w:val="47FF2950"/>
    <w:rsid w:val="48503D99"/>
    <w:rsid w:val="4B4D6DF6"/>
    <w:rsid w:val="4B543730"/>
    <w:rsid w:val="4BC82845"/>
    <w:rsid w:val="4BF96ED8"/>
    <w:rsid w:val="4C4E7B18"/>
    <w:rsid w:val="4ED80FF1"/>
    <w:rsid w:val="4FA42C81"/>
    <w:rsid w:val="50063715"/>
    <w:rsid w:val="501222E0"/>
    <w:rsid w:val="505A5A36"/>
    <w:rsid w:val="531B5950"/>
    <w:rsid w:val="54EA0F08"/>
    <w:rsid w:val="55721276"/>
    <w:rsid w:val="55FE5409"/>
    <w:rsid w:val="576A2D00"/>
    <w:rsid w:val="57F347A6"/>
    <w:rsid w:val="581D1E11"/>
    <w:rsid w:val="5A3F1E6A"/>
    <w:rsid w:val="5B4E11AE"/>
    <w:rsid w:val="5B697B96"/>
    <w:rsid w:val="5C6E7D9F"/>
    <w:rsid w:val="5D2502E7"/>
    <w:rsid w:val="5D5A2B0A"/>
    <w:rsid w:val="5DAB16F8"/>
    <w:rsid w:val="5E1829D0"/>
    <w:rsid w:val="5F043358"/>
    <w:rsid w:val="610D12E2"/>
    <w:rsid w:val="61891AD2"/>
    <w:rsid w:val="61BE553D"/>
    <w:rsid w:val="64B259E8"/>
    <w:rsid w:val="65123962"/>
    <w:rsid w:val="65205F34"/>
    <w:rsid w:val="672C1A82"/>
    <w:rsid w:val="673E33A7"/>
    <w:rsid w:val="67887C88"/>
    <w:rsid w:val="6799561B"/>
    <w:rsid w:val="68B166E3"/>
    <w:rsid w:val="68D53FEF"/>
    <w:rsid w:val="692C3FBB"/>
    <w:rsid w:val="6A3449A9"/>
    <w:rsid w:val="6A4B6A51"/>
    <w:rsid w:val="6ABB2038"/>
    <w:rsid w:val="6C7B31D8"/>
    <w:rsid w:val="6D1C7EA3"/>
    <w:rsid w:val="70710506"/>
    <w:rsid w:val="712852A5"/>
    <w:rsid w:val="71DB20DB"/>
    <w:rsid w:val="72186480"/>
    <w:rsid w:val="72802C82"/>
    <w:rsid w:val="72E73ECF"/>
    <w:rsid w:val="759F6BB5"/>
    <w:rsid w:val="7668155E"/>
    <w:rsid w:val="76715784"/>
    <w:rsid w:val="77F10B7F"/>
    <w:rsid w:val="77F764AE"/>
    <w:rsid w:val="780933E0"/>
    <w:rsid w:val="78760F2E"/>
    <w:rsid w:val="7BA7127F"/>
    <w:rsid w:val="7C413482"/>
    <w:rsid w:val="7CDB0DCB"/>
    <w:rsid w:val="7D684932"/>
    <w:rsid w:val="7DAA77FE"/>
    <w:rsid w:val="7DE624FD"/>
    <w:rsid w:val="7DF991C7"/>
    <w:rsid w:val="7E151C83"/>
    <w:rsid w:val="7E550B70"/>
    <w:rsid w:val="7FF30928"/>
    <w:rsid w:val="FFEF4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w:basedOn w:val="1"/>
    <w:link w:val="13"/>
    <w:qFormat/>
    <w:uiPriority w:val="0"/>
    <w:pPr>
      <w:spacing w:line="360" w:lineRule="auto"/>
      <w:ind w:firstLine="422" w:firstLineChars="200"/>
    </w:pPr>
    <w:rPr>
      <w:rFonts w:ascii="Times New Roman" w:hAnsi="Times New Roman"/>
      <w:sz w:val="24"/>
    </w:rPr>
  </w:style>
  <w:style w:type="paragraph" w:styleId="5">
    <w:name w:val="footer"/>
    <w:basedOn w:val="1"/>
    <w:qFormat/>
    <w:uiPriority w:val="0"/>
    <w:pPr>
      <w:tabs>
        <w:tab w:val="center" w:pos="4320"/>
        <w:tab w:val="right" w:pos="8640"/>
      </w:tabs>
    </w:pPr>
  </w:style>
  <w:style w:type="paragraph" w:styleId="6">
    <w:name w:val="header"/>
    <w:basedOn w:val="1"/>
    <w:qFormat/>
    <w:uiPriority w:val="0"/>
    <w:pPr>
      <w:tabs>
        <w:tab w:val="center" w:pos="4320"/>
        <w:tab w:val="right" w:pos="8640"/>
      </w:tabs>
    </w:pPr>
  </w:style>
  <w:style w:type="paragraph" w:styleId="7">
    <w:name w:val="index 7"/>
    <w:basedOn w:val="1"/>
    <w:next w:val="1"/>
    <w:qFormat/>
    <w:uiPriority w:val="99"/>
    <w:pPr>
      <w:ind w:left="1200" w:leftChars="1200"/>
    </w:pPr>
  </w:style>
  <w:style w:type="paragraph" w:styleId="8">
    <w:name w:val="Body Text First Indent"/>
    <w:basedOn w:val="1"/>
    <w:next w:val="1"/>
    <w:qFormat/>
    <w:uiPriority w:val="99"/>
    <w:pPr>
      <w:spacing w:after="120" w:line="275" w:lineRule="atLeast"/>
      <w:textAlignment w:val="baseline"/>
    </w:p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next w:val="7"/>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3">
    <w:name w:val="正文文本 Char"/>
    <w:basedOn w:val="11"/>
    <w:link w:val="4"/>
    <w:qFormat/>
    <w:uiPriority w:val="0"/>
    <w:rPr>
      <w:rFonts w:ascii="Times New Roman" w:hAnsi="Times New Roman" w:eastAsia="宋体"/>
      <w:sz w:val="24"/>
    </w:rPr>
  </w:style>
  <w:style w:type="paragraph" w:styleId="14">
    <w:name w:val="List Paragraph"/>
    <w:basedOn w:val="1"/>
    <w:qFormat/>
    <w:uiPriority w:val="34"/>
    <w:pPr>
      <w:widowControl/>
      <w:spacing w:after="200" w:line="276" w:lineRule="auto"/>
      <w:ind w:left="720"/>
      <w:contextualSpacing/>
      <w:jc w:val="left"/>
    </w:pPr>
    <w:rPr>
      <w:rFonts w:ascii="Calibri" w:hAnsi="Calibri" w:eastAsia="宋体" w:cs="Times New Roman"/>
      <w:kern w:val="0"/>
      <w:sz w:val="22"/>
      <w:szCs w:val="22"/>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acbfdd8b-e11b-4d36-88ff-6049b138f862"/>
    <w:basedOn w:val="4"/>
    <w:qFormat/>
    <w:uiPriority w:val="0"/>
    <w:pPr>
      <w:adjustRightInd w:val="0"/>
      <w:spacing w:after="0" w:line="288" w:lineRule="auto"/>
      <w:jc w:val="left"/>
    </w:pPr>
    <w:rPr>
      <w:rFonts w:ascii="微软雅黑" w:hAnsi="微软雅黑" w:eastAsia="微软雅黑"/>
      <w:color w:val="000000"/>
      <w:sz w:val="22"/>
    </w:rPr>
  </w:style>
  <w:style w:type="character" w:customStyle="1" w:styleId="1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3607</Words>
  <Characters>4732</Characters>
  <Lines>0</Lines>
  <Paragraphs>0</Paragraphs>
  <TotalTime>3</TotalTime>
  <ScaleCrop>false</ScaleCrop>
  <LinksUpToDate>false</LinksUpToDate>
  <CharactersWithSpaces>4938</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2020-03-07T03:50:00Z</dcterms:created>
  <dc:creator>86173</dc:creator>
  <cp:lastModifiedBy>jyzx</cp:lastModifiedBy>
  <cp:lastPrinted>2025-10-25T08:12:00Z</cp:lastPrinted>
  <dcterms:modified xsi:type="dcterms:W3CDTF">2025-10-29T14:20:35Z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B0E55BC768FDBEA5C976016948C32764</vt:lpwstr>
  </property>
  <property fmtid="{D5CDD505-2E9C-101B-9397-08002B2CF9AE}" pid="4" name="KSOTemplateDocerSaveRecord">
    <vt:lpwstr>eyJoZGlkIjoiYmFhZWYyYzVmMGI4YzU4M2MwYzE0OGYxYmI2NWU3ODQiLCJ1c2VySWQiOiIzMDE5ODQxNjEifQ==</vt:lpwstr>
  </property>
</Properties>
</file>