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A91A0">
      <w:pPr>
        <w:jc w:val="center"/>
        <w:rPr>
          <w:rFonts w:hint="eastAsia"/>
          <w:b/>
          <w:bCs/>
          <w:sz w:val="36"/>
          <w:szCs w:val="36"/>
          <w:lang w:val="en-US" w:eastAsia="zh-CN"/>
        </w:rPr>
      </w:pPr>
      <w:r>
        <w:rPr>
          <w:rFonts w:hint="eastAsia"/>
          <w:b/>
          <w:bCs/>
          <w:sz w:val="36"/>
          <w:szCs w:val="36"/>
          <w:lang w:val="en-US" w:eastAsia="zh-CN"/>
        </w:rPr>
        <w:t>服务平台信用修复/申诉流程</w:t>
      </w:r>
    </w:p>
    <w:p w14:paraId="316A0548">
      <w:pPr>
        <w:jc w:val="center"/>
        <w:rPr>
          <w:rFonts w:hint="eastAsia"/>
          <w:b/>
          <w:bCs/>
          <w:sz w:val="36"/>
          <w:szCs w:val="36"/>
          <w:lang w:val="en-US" w:eastAsia="zh-CN"/>
        </w:rPr>
      </w:pPr>
      <w:r>
        <w:rPr>
          <w:rFonts w:hint="eastAsia"/>
          <w:b/>
          <w:bCs/>
          <w:sz w:val="36"/>
          <w:szCs w:val="36"/>
          <w:lang w:val="en-US" w:eastAsia="zh-CN"/>
        </w:rPr>
        <w:t>操作手册</w:t>
      </w:r>
    </w:p>
    <w:p w14:paraId="783AB5B9">
      <w:pPr>
        <w:jc w:val="center"/>
        <w:rPr>
          <w:rFonts w:hint="eastAsia"/>
          <w:sz w:val="36"/>
          <w:szCs w:val="36"/>
          <w:lang w:val="en-US" w:eastAsia="zh-CN"/>
        </w:rPr>
      </w:pPr>
    </w:p>
    <w:p w14:paraId="7C00D8C7">
      <w:pPr>
        <w:jc w:val="center"/>
        <w:rPr>
          <w:rFonts w:hint="eastAsia"/>
          <w:sz w:val="36"/>
          <w:szCs w:val="36"/>
          <w:lang w:val="en-US" w:eastAsia="zh-CN"/>
        </w:rPr>
      </w:pPr>
    </w:p>
    <w:p w14:paraId="4B406628">
      <w:pPr>
        <w:jc w:val="right"/>
        <w:rPr>
          <w:rFonts w:hint="eastAsia"/>
          <w:sz w:val="24"/>
          <w:szCs w:val="24"/>
          <w:lang w:val="en-US" w:eastAsia="zh-CN"/>
        </w:rPr>
      </w:pPr>
      <w:r>
        <w:rPr>
          <w:rFonts w:hint="eastAsia"/>
          <w:sz w:val="24"/>
          <w:szCs w:val="24"/>
          <w:lang w:val="en-US" w:eastAsia="zh-CN"/>
        </w:rPr>
        <w:t>更新时间：2026-07-02</w:t>
      </w:r>
    </w:p>
    <w:p w14:paraId="11D6B4BA">
      <w:pPr>
        <w:jc w:val="center"/>
        <w:rPr>
          <w:rFonts w:hint="eastAsia"/>
          <w:sz w:val="24"/>
          <w:szCs w:val="24"/>
          <w:lang w:val="en-US" w:eastAsia="zh-CN"/>
        </w:rPr>
      </w:pPr>
    </w:p>
    <w:p w14:paraId="77F9EE65">
      <w:pPr>
        <w:jc w:val="both"/>
        <w:rPr>
          <w:rFonts w:hint="eastAsia"/>
          <w:sz w:val="24"/>
          <w:szCs w:val="24"/>
          <w:lang w:val="en-US" w:eastAsia="zh-CN"/>
        </w:rPr>
      </w:pPr>
      <w:r>
        <w:rPr>
          <w:rFonts w:hint="eastAsia"/>
          <w:sz w:val="24"/>
          <w:szCs w:val="24"/>
          <w:lang w:val="en-US" w:eastAsia="zh-CN"/>
        </w:rPr>
        <w:t xml:space="preserve">系统地址：https://hnsggzy.com/#/sy </w:t>
      </w:r>
    </w:p>
    <w:p w14:paraId="5F4304EB">
      <w:pPr>
        <w:jc w:val="both"/>
        <w:rPr>
          <w:rFonts w:hint="default"/>
          <w:sz w:val="36"/>
          <w:szCs w:val="36"/>
          <w:lang w:val="en-US" w:eastAsia="zh-CN"/>
        </w:rPr>
      </w:pPr>
    </w:p>
    <w:p w14:paraId="3486FA9A">
      <w:pPr>
        <w:jc w:val="both"/>
        <w:rPr>
          <w:rFonts w:hint="default"/>
          <w:sz w:val="36"/>
          <w:szCs w:val="36"/>
          <w:lang w:val="en-US" w:eastAsia="zh-CN"/>
        </w:rPr>
        <w:sectPr>
          <w:pgSz w:w="11906" w:h="16838"/>
          <w:pgMar w:top="1440" w:right="1440" w:bottom="1440" w:left="1440" w:header="708" w:footer="708" w:gutter="0"/>
          <w:cols w:space="720" w:num="1"/>
          <w:docGrid w:linePitch="360" w:charSpace="0"/>
        </w:sectPr>
      </w:pPr>
      <w:r>
        <w:drawing>
          <wp:inline distT="0" distB="0" distL="114300" distR="114300">
            <wp:extent cx="5721985" cy="33693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721985" cy="3369310"/>
                    </a:xfrm>
                    <a:prstGeom prst="rect">
                      <a:avLst/>
                    </a:prstGeom>
                    <a:noFill/>
                    <a:ln>
                      <a:noFill/>
                    </a:ln>
                  </pic:spPr>
                </pic:pic>
              </a:graphicData>
            </a:graphic>
          </wp:inline>
        </w:drawing>
      </w:r>
    </w:p>
    <w:p w14:paraId="2F422680">
      <w:pPr>
        <w:pStyle w:val="2"/>
        <w:jc w:val="both"/>
        <w:rPr>
          <w:rFonts w:hint="eastAsia" w:ascii="宋体" w:hAnsi="宋体" w:eastAsia="宋体" w:cs="宋体"/>
          <w:sz w:val="30"/>
          <w:szCs w:val="30"/>
        </w:rPr>
      </w:pPr>
      <w:r>
        <w:rPr>
          <w:rFonts w:hint="eastAsia" w:ascii="宋体" w:hAnsi="宋体" w:eastAsia="宋体" w:cs="宋体"/>
          <w:b/>
          <w:bCs/>
          <w:sz w:val="30"/>
          <w:szCs w:val="30"/>
        </w:rPr>
        <w:t>1、信用修复流程</w:t>
      </w:r>
    </w:p>
    <w:p w14:paraId="2B6BE357">
      <w:pPr>
        <w:pStyle w:val="3"/>
        <w:bidi w:val="0"/>
        <w:rPr>
          <w:rFonts w:hint="eastAsia" w:ascii="宋体" w:hAnsi="宋体" w:eastAsia="宋体" w:cs="宋体"/>
          <w:sz w:val="28"/>
          <w:szCs w:val="28"/>
        </w:rPr>
      </w:pPr>
      <w:r>
        <w:rPr>
          <w:rFonts w:hint="eastAsia" w:ascii="宋体" w:hAnsi="宋体" w:eastAsia="宋体" w:cs="宋体"/>
          <w:sz w:val="28"/>
          <w:szCs w:val="28"/>
        </w:rPr>
        <w:t>1.1 信用修复申请</w:t>
      </w:r>
    </w:p>
    <w:p w14:paraId="43823DE3">
      <w:pPr>
        <w:pStyle w:val="22"/>
        <w:ind w:left="0" w:leftChars="0" w:firstLine="0" w:firstLineChars="0"/>
        <w:rPr>
          <w:rFonts w:hint="eastAsia" w:eastAsia="宋体"/>
          <w:lang w:eastAsia="zh-CN"/>
        </w:rPr>
      </w:pPr>
      <w:r>
        <w:rPr>
          <w:rFonts w:ascii="宋体" w:hAnsi="宋体" w:eastAsia="宋体" w:cs="宋体"/>
          <w:b/>
          <w:bCs/>
          <w:sz w:val="24"/>
          <w:szCs w:val="24"/>
        </w:rPr>
        <w:t>操作用户</w:t>
      </w:r>
      <w:r>
        <w:rPr>
          <w:rFonts w:ascii="宋体" w:hAnsi="宋体" w:eastAsia="宋体" w:cs="宋体"/>
          <w:sz w:val="24"/>
          <w:szCs w:val="24"/>
        </w:rPr>
        <w:t>：市场主体（投标人、代理机构、评审专家等）</w:t>
      </w:r>
      <w:r>
        <w:rPr>
          <w:rFonts w:hint="eastAsia" w:cs="宋体"/>
          <w:sz w:val="24"/>
          <w:szCs w:val="24"/>
          <w:lang w:eastAsia="zh-CN"/>
        </w:rPr>
        <w:t>。</w:t>
      </w:r>
    </w:p>
    <w:p w14:paraId="718E5B23">
      <w:pPr>
        <w:pStyle w:val="22"/>
        <w:ind w:left="0" w:leftChars="0" w:firstLine="0" w:firstLineChars="0"/>
      </w:pPr>
      <w:r>
        <w:rPr>
          <w:rFonts w:ascii="宋体" w:hAnsi="宋体" w:eastAsia="宋体" w:cs="宋体"/>
          <w:b/>
          <w:bCs/>
          <w:sz w:val="24"/>
          <w:szCs w:val="24"/>
        </w:rPr>
        <w:t>操作前提：</w:t>
      </w:r>
      <w:r>
        <w:rPr>
          <w:rFonts w:ascii="宋体" w:hAnsi="宋体" w:eastAsia="宋体" w:cs="宋体"/>
          <w:sz w:val="24"/>
          <w:szCs w:val="24"/>
        </w:rPr>
        <w:t>在湖南省公共资源交易领域存在</w:t>
      </w:r>
      <w:r>
        <w:rPr>
          <w:rFonts w:hint="eastAsia" w:cs="宋体"/>
          <w:sz w:val="24"/>
          <w:szCs w:val="24"/>
          <w:lang w:val="en-US" w:eastAsia="zh-CN"/>
        </w:rPr>
        <w:t>可修复的不良行为。</w:t>
      </w:r>
    </w:p>
    <w:p w14:paraId="7EE6CD69">
      <w:pPr>
        <w:pStyle w:val="22"/>
        <w:ind w:left="0" w:leftChars="0" w:firstLine="0" w:firstLineChars="0"/>
        <w:rPr>
          <w:rFonts w:ascii="宋体" w:hAnsi="宋体" w:eastAsia="宋体" w:cs="宋体"/>
          <w:b/>
          <w:bCs/>
          <w:sz w:val="24"/>
          <w:szCs w:val="24"/>
        </w:rPr>
      </w:pPr>
      <w:r>
        <w:rPr>
          <w:rFonts w:ascii="宋体" w:hAnsi="宋体" w:eastAsia="宋体" w:cs="宋体"/>
          <w:b/>
          <w:bCs/>
          <w:sz w:val="24"/>
          <w:szCs w:val="24"/>
        </w:rPr>
        <w:t>操作说明：</w:t>
      </w:r>
    </w:p>
    <w:p w14:paraId="263BF3F9">
      <w:pPr>
        <w:pStyle w:val="22"/>
        <w:numPr>
          <w:ilvl w:val="0"/>
          <w:numId w:val="0"/>
        </w:numPr>
        <w:ind w:firstLine="480" w:firstLineChars="200"/>
        <w:rPr>
          <w:rFonts w:hint="eastAsia" w:cs="宋体"/>
          <w:sz w:val="24"/>
          <w:szCs w:val="24"/>
          <w:lang w:val="en-US" w:eastAsia="zh-CN"/>
        </w:rPr>
      </w:pPr>
      <w:r>
        <w:rPr>
          <w:rFonts w:hint="eastAsia" w:cs="宋体"/>
          <w:sz w:val="24"/>
          <w:szCs w:val="24"/>
          <w:lang w:val="en-US" w:eastAsia="zh-CN"/>
        </w:rPr>
        <w:t>市场主体登录湖南省公共资源交易服务平台，进入个人中心，选择【我的信用修复】栏目，点击【申请修复】按钮跳转至信用修复须知页面。</w:t>
      </w:r>
    </w:p>
    <w:p w14:paraId="2FD18C39">
      <w:pPr>
        <w:pStyle w:val="22"/>
        <w:numPr>
          <w:ilvl w:val="0"/>
          <w:numId w:val="0"/>
        </w:numPr>
      </w:pPr>
      <w:r>
        <w:drawing>
          <wp:inline distT="0" distB="0" distL="114300" distR="114300">
            <wp:extent cx="5725795" cy="3365500"/>
            <wp:effectExtent l="0" t="0" r="825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725795" cy="3365500"/>
                    </a:xfrm>
                    <a:prstGeom prst="rect">
                      <a:avLst/>
                    </a:prstGeom>
                    <a:noFill/>
                    <a:ln>
                      <a:noFill/>
                    </a:ln>
                  </pic:spPr>
                </pic:pic>
              </a:graphicData>
            </a:graphic>
          </wp:inline>
        </w:drawing>
      </w:r>
    </w:p>
    <w:p w14:paraId="12809BE3">
      <w:pPr>
        <w:pStyle w:val="22"/>
        <w:numPr>
          <w:ilvl w:val="0"/>
          <w:numId w:val="0"/>
        </w:numPr>
        <w:rPr>
          <w:rFonts w:hint="eastAsia"/>
          <w:lang w:val="en-US" w:eastAsia="zh-CN"/>
        </w:rPr>
      </w:pPr>
      <w:r>
        <w:drawing>
          <wp:inline distT="0" distB="0" distL="114300" distR="114300">
            <wp:extent cx="5729605" cy="3366135"/>
            <wp:effectExtent l="0" t="0" r="4445"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729605" cy="3366135"/>
                    </a:xfrm>
                    <a:prstGeom prst="rect">
                      <a:avLst/>
                    </a:prstGeom>
                    <a:noFill/>
                    <a:ln>
                      <a:noFill/>
                    </a:ln>
                  </pic:spPr>
                </pic:pic>
              </a:graphicData>
            </a:graphic>
          </wp:inline>
        </w:drawing>
      </w:r>
    </w:p>
    <w:p w14:paraId="12712F70">
      <w:pPr>
        <w:pStyle w:val="22"/>
        <w:numPr>
          <w:ilvl w:val="0"/>
          <w:numId w:val="0"/>
        </w:numPr>
        <w:ind w:firstLine="480" w:firstLineChars="200"/>
        <w:rPr>
          <w:rFonts w:hint="default" w:cs="宋体"/>
          <w:sz w:val="24"/>
          <w:szCs w:val="24"/>
          <w:lang w:val="en-US" w:eastAsia="zh-CN"/>
        </w:rPr>
      </w:pPr>
      <w:r>
        <w:rPr>
          <w:rFonts w:hint="eastAsia" w:cs="宋体"/>
          <w:sz w:val="24"/>
          <w:szCs w:val="24"/>
          <w:lang w:val="en-US" w:eastAsia="zh-CN"/>
        </w:rPr>
        <w:t>勾选信用修复须知，点击【下一步】按钮，在线填报信用修复联系人信息、关联对应不良行为记录并上传所需材料；点击下一步自动生成信用承诺函，完成电子签章后点击【提交】，申请材料将按数据来源分流至对应业务支撑平台或行政监管平台开展后续受理审核工作。点击【取消按钮】即取消业务办理，点击【保存】按钮即暂存数据信息。</w:t>
      </w:r>
    </w:p>
    <w:p w14:paraId="30F67C56">
      <w:pPr>
        <w:pStyle w:val="22"/>
        <w:numPr>
          <w:ilvl w:val="0"/>
          <w:numId w:val="0"/>
        </w:numPr>
      </w:pPr>
      <w:r>
        <w:drawing>
          <wp:inline distT="0" distB="0" distL="114300" distR="114300">
            <wp:extent cx="5720080" cy="3400425"/>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720080" cy="3400425"/>
                    </a:xfrm>
                    <a:prstGeom prst="rect">
                      <a:avLst/>
                    </a:prstGeom>
                    <a:noFill/>
                    <a:ln>
                      <a:noFill/>
                    </a:ln>
                  </pic:spPr>
                </pic:pic>
              </a:graphicData>
            </a:graphic>
          </wp:inline>
        </w:drawing>
      </w:r>
    </w:p>
    <w:p w14:paraId="51ACE5B5">
      <w:pPr>
        <w:pStyle w:val="22"/>
        <w:numPr>
          <w:ilvl w:val="0"/>
          <w:numId w:val="0"/>
        </w:numPr>
        <w:rPr>
          <w:rFonts w:hint="eastAsia"/>
          <w:lang w:val="en-US" w:eastAsia="zh-CN"/>
        </w:rPr>
      </w:pPr>
      <w:r>
        <w:drawing>
          <wp:inline distT="0" distB="0" distL="114300" distR="114300">
            <wp:extent cx="5721985" cy="3216275"/>
            <wp:effectExtent l="0" t="0" r="254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tretch>
                      <a:fillRect/>
                    </a:stretch>
                  </pic:blipFill>
                  <pic:spPr>
                    <a:xfrm>
                      <a:off x="0" y="0"/>
                      <a:ext cx="5721985" cy="3216275"/>
                    </a:xfrm>
                    <a:prstGeom prst="rect">
                      <a:avLst/>
                    </a:prstGeom>
                    <a:noFill/>
                    <a:ln>
                      <a:noFill/>
                    </a:ln>
                  </pic:spPr>
                </pic:pic>
              </a:graphicData>
            </a:graphic>
          </wp:inline>
        </w:drawing>
      </w:r>
    </w:p>
    <w:p w14:paraId="1396E194">
      <w:pPr>
        <w:pStyle w:val="22"/>
        <w:numPr>
          <w:ilvl w:val="0"/>
          <w:numId w:val="0"/>
        </w:numPr>
        <w:rPr>
          <w:rFonts w:hint="eastAsia" w:cs="宋体"/>
          <w:b/>
          <w:bCs/>
          <w:sz w:val="24"/>
          <w:szCs w:val="24"/>
          <w:lang w:val="en-US" w:eastAsia="zh-CN"/>
        </w:rPr>
      </w:pPr>
      <w:r>
        <w:rPr>
          <w:rFonts w:hint="eastAsia" w:cs="宋体"/>
          <w:b/>
          <w:bCs/>
          <w:sz w:val="24"/>
          <w:szCs w:val="24"/>
          <w:lang w:val="en-US" w:eastAsia="zh-CN"/>
        </w:rPr>
        <w:t>说明：</w:t>
      </w:r>
    </w:p>
    <w:p w14:paraId="1E3162DE">
      <w:pPr>
        <w:pStyle w:val="22"/>
        <w:numPr>
          <w:ilvl w:val="0"/>
          <w:numId w:val="0"/>
        </w:numPr>
        <w:rPr>
          <w:rFonts w:hint="eastAsia" w:cs="宋体"/>
          <w:sz w:val="24"/>
          <w:szCs w:val="24"/>
          <w:lang w:val="en-US" w:eastAsia="zh-CN"/>
        </w:rPr>
      </w:pPr>
      <w:r>
        <w:rPr>
          <w:rFonts w:hint="eastAsia" w:cs="宋体"/>
          <w:sz w:val="24"/>
          <w:szCs w:val="24"/>
          <w:lang w:val="en-US" w:eastAsia="zh-CN"/>
        </w:rPr>
        <w:t>1、信用承诺书（因自然人暂不能在线上进行电子签章，因此，评标专家在申请信用修复时，需在附件处上传含本人签字及手印的承诺书电子扫描件）</w:t>
      </w:r>
    </w:p>
    <w:p w14:paraId="39B1E66A">
      <w:pPr>
        <w:pStyle w:val="22"/>
        <w:numPr>
          <w:ilvl w:val="0"/>
          <w:numId w:val="0"/>
        </w:numPr>
        <w:rPr>
          <w:rFonts w:hint="eastAsia" w:cs="宋体"/>
          <w:sz w:val="24"/>
          <w:szCs w:val="24"/>
          <w:lang w:val="en-US" w:eastAsia="zh-CN"/>
        </w:rPr>
      </w:pPr>
      <w:r>
        <w:rPr>
          <w:rFonts w:hint="eastAsia" w:cs="宋体"/>
          <w:sz w:val="24"/>
          <w:szCs w:val="24"/>
          <w:lang w:val="en-US" w:eastAsia="zh-CN"/>
        </w:rPr>
        <w:t>2、如申请修复严重不良行为，除常规材料外，投标人、招标代理机构还须上传省内在建项目（或近两年内完工项目）业主单位出具的履约情况证明；评标专家须提供由评标专家库组建单位出具的履职情况证明；</w:t>
      </w:r>
    </w:p>
    <w:p w14:paraId="4FADD0D5">
      <w:pPr>
        <w:pStyle w:val="22"/>
        <w:numPr>
          <w:ilvl w:val="0"/>
          <w:numId w:val="0"/>
        </w:numPr>
        <w:rPr>
          <w:rFonts w:hint="default" w:cs="宋体"/>
          <w:sz w:val="24"/>
          <w:szCs w:val="24"/>
          <w:lang w:val="en-US" w:eastAsia="zh-CN"/>
        </w:rPr>
      </w:pPr>
      <w:r>
        <w:rPr>
          <w:rFonts w:hint="eastAsia" w:cs="宋体"/>
          <w:sz w:val="24"/>
          <w:szCs w:val="24"/>
          <w:lang w:val="en-US" w:eastAsia="zh-CN"/>
        </w:rPr>
        <w:t>4、</w:t>
      </w:r>
      <w:r>
        <w:rPr>
          <w:rFonts w:hint="default" w:cs="宋体"/>
          <w:sz w:val="24"/>
          <w:szCs w:val="24"/>
          <w:lang w:val="en-US" w:eastAsia="zh-CN"/>
        </w:rPr>
        <w:t>对于一般不良行为公示期达90自然日的、严重不良行为公示期达180自然日的，可申请修复信用</w:t>
      </w:r>
    </w:p>
    <w:p w14:paraId="7537B4E6">
      <w:pPr>
        <w:pStyle w:val="3"/>
        <w:rPr>
          <w:rFonts w:hint="eastAsia" w:ascii="宋体" w:hAnsi="宋体" w:eastAsia="宋体" w:cs="宋体"/>
          <w:b/>
          <w:bCs/>
          <w:sz w:val="28"/>
          <w:szCs w:val="28"/>
        </w:rPr>
      </w:pPr>
      <w:r>
        <w:rPr>
          <w:rFonts w:hint="eastAsia" w:ascii="宋体" w:hAnsi="宋体" w:eastAsia="宋体" w:cs="宋体"/>
          <w:b/>
          <w:bCs/>
          <w:sz w:val="28"/>
          <w:szCs w:val="28"/>
        </w:rPr>
        <w:t>1.</w:t>
      </w:r>
      <w:r>
        <w:rPr>
          <w:rFonts w:hint="eastAsia" w:ascii="宋体" w:hAnsi="宋体" w:cs="宋体"/>
          <w:b/>
          <w:bCs/>
          <w:sz w:val="28"/>
          <w:szCs w:val="28"/>
          <w:lang w:val="en-US" w:eastAsia="zh-CN"/>
        </w:rPr>
        <w:t>2</w:t>
      </w:r>
      <w:r>
        <w:rPr>
          <w:rFonts w:hint="eastAsia" w:ascii="宋体" w:hAnsi="宋体" w:eastAsia="宋体" w:cs="宋体"/>
          <w:b/>
          <w:bCs/>
          <w:sz w:val="28"/>
          <w:szCs w:val="28"/>
        </w:rPr>
        <w:t xml:space="preserve"> 接收结果与公示</w:t>
      </w:r>
    </w:p>
    <w:p w14:paraId="419D7410">
      <w:pPr>
        <w:ind w:firstLine="480" w:firstLineChars="200"/>
        <w:rPr>
          <w:rFonts w:hint="eastAsia"/>
        </w:rPr>
      </w:pPr>
      <w:r>
        <w:rPr>
          <w:rFonts w:hint="eastAsia"/>
          <w:lang w:val="en-US" w:eastAsia="zh-CN"/>
        </w:rPr>
        <w:t>1、</w:t>
      </w:r>
      <w:r>
        <w:rPr>
          <w:rFonts w:hint="eastAsia"/>
        </w:rPr>
        <w:t>信用修复业务办结后，您可进入【个人中心】-【我的信用修复】，查看信用修复记录完整详情；</w:t>
      </w:r>
    </w:p>
    <w:p w14:paraId="4492EF85">
      <w:pPr>
        <w:rPr>
          <w:rFonts w:hint="eastAsia"/>
        </w:rPr>
      </w:pPr>
      <w:bookmarkStart w:id="0" w:name="_GoBack"/>
      <w:r>
        <w:drawing>
          <wp:inline distT="0" distB="0" distL="114300" distR="114300">
            <wp:extent cx="5721985" cy="3365500"/>
            <wp:effectExtent l="0" t="0" r="254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721985" cy="3365500"/>
                    </a:xfrm>
                    <a:prstGeom prst="rect">
                      <a:avLst/>
                    </a:prstGeom>
                    <a:noFill/>
                    <a:ln>
                      <a:noFill/>
                    </a:ln>
                  </pic:spPr>
                </pic:pic>
              </a:graphicData>
            </a:graphic>
          </wp:inline>
        </w:drawing>
      </w:r>
    </w:p>
    <w:bookmarkEnd w:id="0"/>
    <w:p w14:paraId="024BBE8A">
      <w:pPr>
        <w:numPr>
          <w:ilvl w:val="0"/>
          <w:numId w:val="1"/>
        </w:numPr>
        <w:ind w:firstLine="480" w:firstLineChars="200"/>
        <w:rPr>
          <w:rFonts w:hint="default"/>
          <w:lang w:val="en-US" w:eastAsia="zh-CN"/>
        </w:rPr>
      </w:pPr>
      <w:r>
        <w:rPr>
          <w:rFonts w:hint="eastAsia"/>
        </w:rPr>
        <w:t>若修复申请</w:t>
      </w:r>
      <w:r>
        <w:rPr>
          <w:rFonts w:hint="eastAsia"/>
          <w:lang w:val="en-US" w:eastAsia="zh-CN"/>
        </w:rPr>
        <w:t>不予修复/不予受理</w:t>
      </w:r>
      <w:r>
        <w:rPr>
          <w:rFonts w:hint="eastAsia"/>
        </w:rPr>
        <w:t>，可点击【信用信息】-【信用不良行为公示】，查看不予修复相关详细内容</w:t>
      </w:r>
      <w:r>
        <w:rPr>
          <w:rFonts w:hint="eastAsia"/>
          <w:lang w:eastAsia="zh-CN"/>
        </w:rPr>
        <w:t>，</w:t>
      </w:r>
      <w:r>
        <w:rPr>
          <w:rFonts w:hint="eastAsia"/>
          <w:lang w:val="en-US" w:eastAsia="zh-CN"/>
        </w:rPr>
        <w:t>并支持发起异议申诉流程</w:t>
      </w:r>
    </w:p>
    <w:p w14:paraId="35CF7FEB">
      <w:pPr>
        <w:numPr>
          <w:ilvl w:val="0"/>
          <w:numId w:val="0"/>
        </w:numPr>
      </w:pPr>
      <w:r>
        <w:drawing>
          <wp:inline distT="0" distB="0" distL="114300" distR="114300">
            <wp:extent cx="5721985" cy="33693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5721985" cy="3369310"/>
                    </a:xfrm>
                    <a:prstGeom prst="rect">
                      <a:avLst/>
                    </a:prstGeom>
                    <a:noFill/>
                    <a:ln>
                      <a:noFill/>
                    </a:ln>
                  </pic:spPr>
                </pic:pic>
              </a:graphicData>
            </a:graphic>
          </wp:inline>
        </w:drawing>
      </w:r>
    </w:p>
    <w:p w14:paraId="7AAA2E17">
      <w:pPr>
        <w:numPr>
          <w:ilvl w:val="0"/>
          <w:numId w:val="1"/>
        </w:numPr>
        <w:ind w:left="0" w:leftChars="0" w:firstLine="480" w:firstLineChars="200"/>
        <w:rPr>
          <w:rFonts w:hint="eastAsia"/>
          <w:lang w:val="en-US" w:eastAsia="zh-CN"/>
        </w:rPr>
      </w:pPr>
      <w:r>
        <w:rPr>
          <w:rFonts w:hint="eastAsia"/>
        </w:rPr>
        <w:t>业务基础支撑与行政监管平台受理业务后</w:t>
      </w:r>
      <w:r>
        <w:rPr>
          <w:rFonts w:hint="eastAsia"/>
          <w:lang w:val="en-US" w:eastAsia="zh-CN"/>
        </w:rPr>
        <w:t>选择</w:t>
      </w:r>
      <w:r>
        <w:rPr>
          <w:rFonts w:hint="eastAsia"/>
        </w:rPr>
        <w:t>补正</w:t>
      </w:r>
      <w:r>
        <w:rPr>
          <w:rFonts w:hint="eastAsia"/>
          <w:lang w:eastAsia="zh-CN"/>
        </w:rPr>
        <w:t>，</w:t>
      </w:r>
      <w:r>
        <w:rPr>
          <w:rFonts w:hint="eastAsia"/>
          <w:lang w:val="en-US" w:eastAsia="zh-CN"/>
        </w:rPr>
        <w:t>服务平台可再次编辑业务</w:t>
      </w:r>
    </w:p>
    <w:p w14:paraId="57379A81">
      <w:pPr>
        <w:numPr>
          <w:ilvl w:val="0"/>
          <w:numId w:val="0"/>
        </w:numPr>
        <w:ind w:leftChars="200"/>
      </w:pPr>
      <w:r>
        <w:drawing>
          <wp:inline distT="0" distB="0" distL="114300" distR="114300">
            <wp:extent cx="5718175" cy="3349625"/>
            <wp:effectExtent l="0" t="0" r="635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5718175" cy="3349625"/>
                    </a:xfrm>
                    <a:prstGeom prst="rect">
                      <a:avLst/>
                    </a:prstGeom>
                    <a:noFill/>
                    <a:ln>
                      <a:noFill/>
                    </a:ln>
                  </pic:spPr>
                </pic:pic>
              </a:graphicData>
            </a:graphic>
          </wp:inline>
        </w:drawing>
      </w:r>
    </w:p>
    <w:p w14:paraId="4F7581BE">
      <w:pPr>
        <w:ind w:firstLine="480" w:firstLineChars="200"/>
      </w:pPr>
      <w:r>
        <w:rPr>
          <w:rFonts w:hint="eastAsia"/>
          <w:lang w:val="en-US" w:eastAsia="zh-CN"/>
        </w:rPr>
        <w:t>4、业务基础支撑与行政监管平台受理业务后，补正、予以修复、不予修复的审核结果均通过短信发送至对应市场主体。</w:t>
      </w:r>
      <w:r>
        <w:br w:type="page"/>
      </w:r>
    </w:p>
    <w:p w14:paraId="0281ADD0">
      <w:pPr>
        <w:pStyle w:val="2"/>
        <w:jc w:val="left"/>
        <w:rPr>
          <w:rFonts w:hint="eastAsia" w:ascii="宋体" w:hAnsi="宋体" w:eastAsia="宋体" w:cs="宋体"/>
          <w:sz w:val="30"/>
          <w:szCs w:val="30"/>
        </w:rPr>
      </w:pPr>
      <w:r>
        <w:rPr>
          <w:rFonts w:hint="eastAsia" w:ascii="宋体" w:hAnsi="宋体" w:eastAsia="宋体" w:cs="宋体"/>
          <w:b/>
          <w:bCs/>
          <w:sz w:val="30"/>
          <w:szCs w:val="30"/>
        </w:rPr>
        <w:t>2、信用修复申诉流程</w:t>
      </w:r>
    </w:p>
    <w:p w14:paraId="40E5E1BA">
      <w:pPr>
        <w:pStyle w:val="3"/>
        <w:rPr>
          <w:rFonts w:hint="eastAsia" w:ascii="宋体" w:hAnsi="宋体" w:eastAsia="宋体" w:cs="宋体"/>
          <w:sz w:val="28"/>
          <w:szCs w:val="28"/>
        </w:rPr>
      </w:pPr>
      <w:r>
        <w:rPr>
          <w:rFonts w:hint="eastAsia" w:ascii="宋体" w:hAnsi="宋体" w:eastAsia="宋体" w:cs="宋体"/>
          <w:b/>
          <w:bCs/>
          <w:sz w:val="28"/>
          <w:szCs w:val="28"/>
        </w:rPr>
        <w:t>2.1 信用修复申诉</w:t>
      </w:r>
    </w:p>
    <w:p w14:paraId="236BD072">
      <w:pPr>
        <w:pStyle w:val="22"/>
        <w:ind w:left="0" w:leftChars="0" w:firstLine="0" w:firstLineChars="0"/>
      </w:pPr>
      <w:r>
        <w:rPr>
          <w:rFonts w:ascii="宋体" w:hAnsi="宋体" w:eastAsia="宋体" w:cs="宋体"/>
          <w:b/>
          <w:bCs/>
          <w:sz w:val="24"/>
          <w:szCs w:val="24"/>
        </w:rPr>
        <w:t>操作用户：</w:t>
      </w:r>
      <w:r>
        <w:rPr>
          <w:rFonts w:ascii="宋体" w:hAnsi="宋体" w:eastAsia="宋体" w:cs="宋体"/>
          <w:sz w:val="24"/>
          <w:szCs w:val="24"/>
        </w:rPr>
        <w:t>市场主体</w:t>
      </w:r>
      <w:r>
        <w:rPr>
          <w:rFonts w:hint="eastAsia" w:ascii="宋体" w:hAnsi="宋体" w:eastAsia="宋体" w:cs="宋体"/>
          <w:sz w:val="24"/>
          <w:szCs w:val="24"/>
        </w:rPr>
        <w:t>（投标人、代理机构、评审专家等）</w:t>
      </w:r>
    </w:p>
    <w:p w14:paraId="1DC55BB9">
      <w:pPr>
        <w:pStyle w:val="22"/>
        <w:ind w:left="0" w:leftChars="0" w:firstLine="0" w:firstLineChars="0"/>
        <w:rPr>
          <w:rFonts w:hint="eastAsia" w:ascii="宋体" w:hAnsi="宋体" w:eastAsia="宋体" w:cs="宋体"/>
          <w:sz w:val="24"/>
          <w:szCs w:val="24"/>
        </w:rPr>
      </w:pPr>
      <w:r>
        <w:rPr>
          <w:rFonts w:ascii="宋体" w:hAnsi="宋体" w:eastAsia="宋体" w:cs="宋体"/>
          <w:b/>
          <w:bCs/>
          <w:sz w:val="24"/>
          <w:szCs w:val="24"/>
        </w:rPr>
        <w:t>操作前提：</w:t>
      </w:r>
      <w:r>
        <w:rPr>
          <w:rFonts w:ascii="宋体" w:hAnsi="宋体" w:eastAsia="宋体" w:cs="宋体"/>
          <w:sz w:val="24"/>
          <w:szCs w:val="24"/>
        </w:rPr>
        <w:t>已收到《不予信用修复决定书》且自送达之日起</w:t>
      </w:r>
      <w:r>
        <w:rPr>
          <w:rFonts w:hint="eastAsia" w:ascii="宋体" w:hAnsi="宋体" w:eastAsia="宋体" w:cs="宋体"/>
          <w:sz w:val="24"/>
          <w:szCs w:val="24"/>
        </w:rPr>
        <w:t>10个工作日内提出异议申诉。认定单位将在受理后7个工作日内完成核查并反馈结果</w:t>
      </w:r>
    </w:p>
    <w:p w14:paraId="6A16B4E2">
      <w:pPr>
        <w:pStyle w:val="22"/>
        <w:ind w:left="0" w:leftChars="0" w:firstLine="0" w:firstLineChars="0"/>
        <w:rPr>
          <w:rFonts w:ascii="宋体" w:hAnsi="宋体" w:eastAsia="宋体" w:cs="宋体"/>
          <w:b/>
          <w:bCs/>
          <w:sz w:val="24"/>
          <w:szCs w:val="24"/>
        </w:rPr>
      </w:pPr>
      <w:r>
        <w:rPr>
          <w:rFonts w:ascii="宋体" w:hAnsi="宋体" w:eastAsia="宋体" w:cs="宋体"/>
          <w:b/>
          <w:bCs/>
          <w:sz w:val="24"/>
          <w:szCs w:val="24"/>
        </w:rPr>
        <w:t>操作说明：</w:t>
      </w:r>
    </w:p>
    <w:p w14:paraId="5040E863">
      <w:pPr>
        <w:pStyle w:val="22"/>
        <w:numPr>
          <w:ilvl w:val="0"/>
          <w:numId w:val="2"/>
        </w:numPr>
        <w:rPr>
          <w:rFonts w:ascii="宋体" w:hAnsi="宋体" w:eastAsia="宋体" w:cs="宋体"/>
          <w:sz w:val="24"/>
          <w:szCs w:val="24"/>
        </w:rPr>
      </w:pPr>
      <w:r>
        <w:rPr>
          <w:rFonts w:ascii="宋体" w:hAnsi="宋体" w:eastAsia="宋体" w:cs="宋体"/>
          <w:sz w:val="24"/>
          <w:szCs w:val="24"/>
        </w:rPr>
        <w:t>市场主体登录湖南省公共资源交易服务平台，点击【</w:t>
      </w:r>
      <w:r>
        <w:rPr>
          <w:rFonts w:hint="eastAsia" w:cs="宋体"/>
          <w:sz w:val="24"/>
          <w:szCs w:val="24"/>
          <w:lang w:val="en-US" w:eastAsia="zh-CN"/>
        </w:rPr>
        <w:t>个人中心</w:t>
      </w:r>
      <w:r>
        <w:rPr>
          <w:rFonts w:ascii="宋体" w:hAnsi="宋体" w:eastAsia="宋体" w:cs="宋体"/>
          <w:sz w:val="24"/>
          <w:szCs w:val="24"/>
        </w:rPr>
        <w:t>】</w:t>
      </w:r>
      <w:r>
        <w:rPr>
          <w:rFonts w:hint="eastAsia" w:cs="宋体"/>
          <w:sz w:val="24"/>
          <w:szCs w:val="24"/>
          <w:lang w:val="en-US" w:eastAsia="zh-CN"/>
        </w:rPr>
        <w:t>-【我的信用修复】</w:t>
      </w:r>
      <w:r>
        <w:rPr>
          <w:rFonts w:ascii="宋体" w:hAnsi="宋体" w:eastAsia="宋体" w:cs="宋体"/>
          <w:sz w:val="24"/>
          <w:szCs w:val="24"/>
        </w:rPr>
        <w:t>模块，选择【</w:t>
      </w:r>
      <w:r>
        <w:rPr>
          <w:rFonts w:hint="eastAsia" w:cs="宋体"/>
          <w:sz w:val="24"/>
          <w:szCs w:val="24"/>
          <w:lang w:val="en-US" w:eastAsia="zh-CN"/>
        </w:rPr>
        <w:t>异议</w:t>
      </w:r>
      <w:r>
        <w:rPr>
          <w:rFonts w:ascii="宋体" w:hAnsi="宋体" w:eastAsia="宋体" w:cs="宋体"/>
          <w:sz w:val="24"/>
          <w:szCs w:val="24"/>
        </w:rPr>
        <w:t>申诉】</w:t>
      </w:r>
      <w:r>
        <w:rPr>
          <w:rFonts w:hint="eastAsia" w:cs="宋体"/>
          <w:sz w:val="24"/>
          <w:szCs w:val="24"/>
          <w:lang w:val="en-US" w:eastAsia="zh-CN"/>
        </w:rPr>
        <w:t>按钮发起申诉流程</w:t>
      </w:r>
      <w:r>
        <w:rPr>
          <w:rFonts w:ascii="宋体" w:hAnsi="宋体" w:eastAsia="宋体" w:cs="宋体"/>
          <w:sz w:val="24"/>
          <w:szCs w:val="24"/>
        </w:rPr>
        <w:t>。</w:t>
      </w:r>
    </w:p>
    <w:p w14:paraId="0F51CA2B">
      <w:pPr>
        <w:pStyle w:val="22"/>
        <w:numPr>
          <w:ilvl w:val="0"/>
          <w:numId w:val="0"/>
        </w:numPr>
        <w:rPr>
          <w:rFonts w:ascii="宋体" w:hAnsi="宋体" w:eastAsia="宋体" w:cs="宋体"/>
          <w:sz w:val="24"/>
          <w:szCs w:val="24"/>
        </w:rPr>
      </w:pPr>
      <w:r>
        <w:drawing>
          <wp:inline distT="0" distB="0" distL="114300" distR="114300">
            <wp:extent cx="5723890" cy="3373755"/>
            <wp:effectExtent l="0" t="0" r="635"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tretch>
                      <a:fillRect/>
                    </a:stretch>
                  </pic:blipFill>
                  <pic:spPr>
                    <a:xfrm>
                      <a:off x="0" y="0"/>
                      <a:ext cx="5723890" cy="3373755"/>
                    </a:xfrm>
                    <a:prstGeom prst="rect">
                      <a:avLst/>
                    </a:prstGeom>
                    <a:noFill/>
                    <a:ln>
                      <a:noFill/>
                    </a:ln>
                  </pic:spPr>
                </pic:pic>
              </a:graphicData>
            </a:graphic>
          </wp:inline>
        </w:drawing>
      </w:r>
    </w:p>
    <w:p w14:paraId="6218ADEC">
      <w:pPr>
        <w:pStyle w:val="22"/>
        <w:numPr>
          <w:ilvl w:val="0"/>
          <w:numId w:val="2"/>
        </w:numPr>
        <w:ind w:left="0" w:leftChars="0" w:firstLine="480" w:firstLineChars="0"/>
        <w:rPr>
          <w:rFonts w:ascii="宋体" w:hAnsi="宋体" w:eastAsia="宋体" w:cs="宋体"/>
          <w:sz w:val="24"/>
          <w:szCs w:val="24"/>
        </w:rPr>
      </w:pPr>
      <w:r>
        <w:rPr>
          <w:rFonts w:ascii="宋体" w:hAnsi="宋体" w:eastAsia="宋体" w:cs="宋体"/>
          <w:sz w:val="24"/>
          <w:szCs w:val="24"/>
        </w:rPr>
        <w:t>在线填写</w:t>
      </w:r>
      <w:r>
        <w:rPr>
          <w:rFonts w:hint="eastAsia" w:cs="宋体"/>
          <w:sz w:val="24"/>
          <w:szCs w:val="24"/>
          <w:lang w:val="en-US" w:eastAsia="zh-CN"/>
        </w:rPr>
        <w:t>申诉理由及佐证材料</w:t>
      </w:r>
      <w:r>
        <w:rPr>
          <w:rFonts w:ascii="宋体" w:hAnsi="宋体" w:eastAsia="宋体" w:cs="宋体"/>
          <w:sz w:val="24"/>
          <w:szCs w:val="24"/>
        </w:rPr>
        <w:t>。</w:t>
      </w:r>
    </w:p>
    <w:p w14:paraId="3BE8BE5F">
      <w:pPr>
        <w:pStyle w:val="22"/>
        <w:numPr>
          <w:ilvl w:val="0"/>
          <w:numId w:val="0"/>
        </w:numPr>
        <w:rPr>
          <w:rFonts w:ascii="宋体" w:hAnsi="宋体" w:eastAsia="宋体" w:cs="宋体"/>
          <w:sz w:val="24"/>
          <w:szCs w:val="24"/>
        </w:rPr>
      </w:pPr>
      <w:r>
        <w:drawing>
          <wp:inline distT="0" distB="0" distL="114300" distR="114300">
            <wp:extent cx="5718175" cy="3361690"/>
            <wp:effectExtent l="0" t="0" r="635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5718175" cy="3361690"/>
                    </a:xfrm>
                    <a:prstGeom prst="rect">
                      <a:avLst/>
                    </a:prstGeom>
                    <a:noFill/>
                    <a:ln>
                      <a:noFill/>
                    </a:ln>
                  </pic:spPr>
                </pic:pic>
              </a:graphicData>
            </a:graphic>
          </wp:inline>
        </w:drawing>
      </w:r>
    </w:p>
    <w:p w14:paraId="5FDC1C13">
      <w:pPr>
        <w:pStyle w:val="22"/>
        <w:numPr>
          <w:ilvl w:val="0"/>
          <w:numId w:val="2"/>
        </w:numPr>
        <w:ind w:left="0" w:leftChars="0" w:firstLine="480" w:firstLineChars="0"/>
        <w:rPr>
          <w:rFonts w:hint="eastAsia" w:ascii="宋体" w:hAnsi="宋体" w:eastAsia="宋体" w:cs="宋体"/>
          <w:sz w:val="24"/>
          <w:szCs w:val="24"/>
        </w:rPr>
      </w:pPr>
      <w:r>
        <w:rPr>
          <w:rFonts w:ascii="宋体" w:hAnsi="宋体" w:eastAsia="宋体" w:cs="宋体"/>
          <w:sz w:val="24"/>
          <w:szCs w:val="24"/>
        </w:rPr>
        <w:t>点击【提交</w:t>
      </w:r>
      <w:r>
        <w:rPr>
          <w:rFonts w:hint="eastAsia" w:cs="宋体"/>
          <w:sz w:val="24"/>
          <w:szCs w:val="24"/>
          <w:lang w:val="en-US" w:eastAsia="zh-CN"/>
        </w:rPr>
        <w:t>申诉</w:t>
      </w:r>
      <w:r>
        <w:rPr>
          <w:rFonts w:ascii="宋体" w:hAnsi="宋体" w:eastAsia="宋体" w:cs="宋体"/>
          <w:sz w:val="24"/>
          <w:szCs w:val="24"/>
        </w:rPr>
        <w:t>】按钮，</w:t>
      </w:r>
      <w:r>
        <w:rPr>
          <w:rFonts w:hint="eastAsia" w:ascii="宋体" w:hAnsi="宋体" w:eastAsia="宋体" w:cs="宋体"/>
          <w:sz w:val="24"/>
          <w:szCs w:val="24"/>
        </w:rPr>
        <w:t>业务流转到业务基础支撑/行政监管平台继续受理。</w:t>
      </w:r>
    </w:p>
    <w:p w14:paraId="0C999055">
      <w:pPr>
        <w:pStyle w:val="22"/>
        <w:numPr>
          <w:ilvl w:val="0"/>
          <w:numId w:val="0"/>
        </w:numPr>
        <w:rPr>
          <w:rFonts w:hint="default" w:ascii="宋体" w:hAnsi="宋体" w:eastAsia="宋体" w:cs="宋体"/>
          <w:sz w:val="24"/>
          <w:szCs w:val="24"/>
          <w:lang w:val="en-US" w:eastAsia="zh-CN"/>
        </w:rPr>
      </w:pPr>
      <w:r>
        <w:drawing>
          <wp:inline distT="0" distB="0" distL="114300" distR="114300">
            <wp:extent cx="5727700" cy="3369945"/>
            <wp:effectExtent l="0" t="0" r="635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tretch>
                      <a:fillRect/>
                    </a:stretch>
                  </pic:blipFill>
                  <pic:spPr>
                    <a:xfrm>
                      <a:off x="0" y="0"/>
                      <a:ext cx="5727700" cy="3369945"/>
                    </a:xfrm>
                    <a:prstGeom prst="rect">
                      <a:avLst/>
                    </a:prstGeom>
                    <a:noFill/>
                    <a:ln>
                      <a:noFill/>
                    </a:ln>
                  </pic:spPr>
                </pic:pic>
              </a:graphicData>
            </a:graphic>
          </wp:inline>
        </w:drawing>
      </w:r>
    </w:p>
    <w:p w14:paraId="2374EE01"/>
    <w:p w14:paraId="2E717BFF">
      <w:pPr>
        <w:pStyle w:val="3"/>
        <w:bidi w:val="0"/>
        <w:rPr>
          <w:rFonts w:hint="eastAsia" w:ascii="宋体" w:hAnsi="宋体" w:eastAsia="宋体" w:cs="宋体"/>
          <w:b/>
          <w:bCs/>
        </w:rPr>
      </w:pPr>
      <w:r>
        <w:rPr>
          <w:rFonts w:hint="eastAsia" w:ascii="宋体" w:hAnsi="宋体" w:eastAsia="宋体" w:cs="宋体"/>
          <w:b/>
          <w:bCs/>
        </w:rPr>
        <w:t>2.</w:t>
      </w:r>
      <w:r>
        <w:rPr>
          <w:rFonts w:hint="eastAsia" w:ascii="宋体" w:hAnsi="宋体" w:cs="宋体"/>
          <w:b/>
          <w:bCs/>
          <w:lang w:val="en-US" w:eastAsia="zh-CN"/>
        </w:rPr>
        <w:t>2</w:t>
      </w:r>
      <w:r>
        <w:rPr>
          <w:rFonts w:hint="eastAsia" w:ascii="宋体" w:hAnsi="宋体" w:eastAsia="宋体" w:cs="宋体"/>
          <w:b/>
          <w:bCs/>
        </w:rPr>
        <w:t xml:space="preserve"> 申诉结果接收与公示</w:t>
      </w:r>
    </w:p>
    <w:p w14:paraId="4EE36FB5">
      <w:pPr>
        <w:ind w:firstLine="480" w:firstLineChars="200"/>
        <w:rPr>
          <w:rFonts w:hint="eastAsia"/>
        </w:rPr>
      </w:pPr>
      <w:r>
        <w:rPr>
          <w:rFonts w:hint="eastAsia"/>
        </w:rPr>
        <w:t>1、信用</w:t>
      </w:r>
      <w:r>
        <w:rPr>
          <w:rFonts w:hint="eastAsia"/>
          <w:lang w:val="en-US" w:eastAsia="zh-CN"/>
        </w:rPr>
        <w:t>申诉</w:t>
      </w:r>
      <w:r>
        <w:rPr>
          <w:rFonts w:hint="eastAsia"/>
        </w:rPr>
        <w:t>业务办结后，您可进入【个人中心】-【我的信用修复】，查看信用</w:t>
      </w:r>
      <w:r>
        <w:rPr>
          <w:rFonts w:hint="eastAsia"/>
          <w:lang w:val="en-US" w:eastAsia="zh-CN"/>
        </w:rPr>
        <w:t>修复异议申诉的</w:t>
      </w:r>
      <w:r>
        <w:rPr>
          <w:rFonts w:hint="eastAsia"/>
        </w:rPr>
        <w:t>记录完整详情；</w:t>
      </w:r>
    </w:p>
    <w:p w14:paraId="58A38344">
      <w:pPr>
        <w:rPr>
          <w:rFonts w:hint="eastAsia"/>
        </w:rPr>
      </w:pPr>
      <w:r>
        <w:drawing>
          <wp:inline distT="0" distB="0" distL="114300" distR="114300">
            <wp:extent cx="5718175" cy="3385185"/>
            <wp:effectExtent l="0" t="0" r="635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7"/>
                    <a:stretch>
                      <a:fillRect/>
                    </a:stretch>
                  </pic:blipFill>
                  <pic:spPr>
                    <a:xfrm>
                      <a:off x="0" y="0"/>
                      <a:ext cx="5718175" cy="3385185"/>
                    </a:xfrm>
                    <a:prstGeom prst="rect">
                      <a:avLst/>
                    </a:prstGeom>
                    <a:noFill/>
                    <a:ln>
                      <a:noFill/>
                    </a:ln>
                  </pic:spPr>
                </pic:pic>
              </a:graphicData>
            </a:graphic>
          </wp:inline>
        </w:drawing>
      </w:r>
    </w:p>
    <w:p w14:paraId="70B875BF">
      <w:pPr>
        <w:rPr>
          <w:rFonts w:hint="eastAsia"/>
        </w:rPr>
      </w:pPr>
    </w:p>
    <w:p w14:paraId="533B8797">
      <w:pPr>
        <w:numPr>
          <w:ilvl w:val="0"/>
          <w:numId w:val="3"/>
        </w:numPr>
        <w:ind w:firstLine="480" w:firstLineChars="200"/>
        <w:rPr>
          <w:rFonts w:hint="eastAsia"/>
          <w:lang w:val="en-US" w:eastAsia="zh-CN"/>
        </w:rPr>
      </w:pPr>
      <w:r>
        <w:rPr>
          <w:rFonts w:hint="eastAsia"/>
        </w:rPr>
        <w:t>若</w:t>
      </w:r>
      <w:r>
        <w:rPr>
          <w:rFonts w:hint="eastAsia"/>
          <w:lang w:val="en-US" w:eastAsia="zh-CN"/>
        </w:rPr>
        <w:t>异议申诉</w:t>
      </w:r>
      <w:r>
        <w:rPr>
          <w:rFonts w:hint="eastAsia"/>
        </w:rPr>
        <w:t>申请</w:t>
      </w:r>
      <w:r>
        <w:rPr>
          <w:rFonts w:hint="eastAsia"/>
          <w:lang w:val="en-US" w:eastAsia="zh-CN"/>
        </w:rPr>
        <w:t>不予受理/不予修复</w:t>
      </w:r>
      <w:r>
        <w:rPr>
          <w:rFonts w:hint="eastAsia"/>
        </w:rPr>
        <w:t>，可点击【信用信息】-【信用不良行为公示】，查看不予修复相关详细内容</w:t>
      </w:r>
      <w:r>
        <w:rPr>
          <w:rFonts w:hint="eastAsia"/>
          <w:lang w:eastAsia="zh-CN"/>
        </w:rPr>
        <w:t>，</w:t>
      </w:r>
      <w:r>
        <w:rPr>
          <w:rFonts w:hint="eastAsia"/>
          <w:lang w:val="en-US" w:eastAsia="zh-CN"/>
        </w:rPr>
        <w:t>并支持再次发起异议申诉流程</w:t>
      </w:r>
    </w:p>
    <w:p w14:paraId="58B72430">
      <w:pPr>
        <w:numPr>
          <w:ilvl w:val="0"/>
          <w:numId w:val="0"/>
        </w:numPr>
        <w:rPr>
          <w:rFonts w:hint="eastAsia"/>
          <w:lang w:val="en-US" w:eastAsia="zh-CN"/>
        </w:rPr>
      </w:pPr>
      <w:r>
        <w:drawing>
          <wp:inline distT="0" distB="0" distL="114300" distR="114300">
            <wp:extent cx="5718175" cy="3385185"/>
            <wp:effectExtent l="0" t="0" r="635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5718175" cy="3385185"/>
                    </a:xfrm>
                    <a:prstGeom prst="rect">
                      <a:avLst/>
                    </a:prstGeom>
                    <a:noFill/>
                    <a:ln>
                      <a:noFill/>
                    </a:ln>
                  </pic:spPr>
                </pic:pic>
              </a:graphicData>
            </a:graphic>
          </wp:inline>
        </w:drawing>
      </w:r>
    </w:p>
    <w:p w14:paraId="5F9E6BF4">
      <w:pPr>
        <w:numPr>
          <w:ilvl w:val="0"/>
          <w:numId w:val="3"/>
        </w:numPr>
        <w:ind w:left="0" w:leftChars="0" w:firstLine="480" w:firstLineChars="200"/>
        <w:rPr>
          <w:rFonts w:hint="default"/>
          <w:lang w:val="en-US" w:eastAsia="zh-CN"/>
        </w:rPr>
      </w:pPr>
      <w:r>
        <w:rPr>
          <w:rFonts w:hint="default"/>
          <w:lang w:val="en-US" w:eastAsia="zh-CN"/>
        </w:rPr>
        <w:t>业务基础支撑与行政监管平台受理业务后选择补正，服务平台可再次编辑</w:t>
      </w:r>
      <w:r>
        <w:rPr>
          <w:rFonts w:hint="eastAsia"/>
          <w:lang w:val="en-US" w:eastAsia="zh-CN"/>
        </w:rPr>
        <w:t>异议申诉</w:t>
      </w:r>
      <w:r>
        <w:rPr>
          <w:rFonts w:hint="default"/>
          <w:lang w:val="en-US" w:eastAsia="zh-CN"/>
        </w:rPr>
        <w:t>业务</w:t>
      </w:r>
    </w:p>
    <w:p w14:paraId="4DC8E3B3">
      <w:pPr>
        <w:numPr>
          <w:ilvl w:val="0"/>
          <w:numId w:val="0"/>
        </w:numPr>
        <w:rPr>
          <w:rFonts w:hint="default"/>
          <w:lang w:val="en-US" w:eastAsia="zh-CN"/>
        </w:rPr>
      </w:pPr>
      <w:r>
        <w:drawing>
          <wp:inline distT="0" distB="0" distL="114300" distR="114300">
            <wp:extent cx="5720080" cy="3376930"/>
            <wp:effectExtent l="0" t="0" r="4445"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5720080" cy="3376930"/>
                    </a:xfrm>
                    <a:prstGeom prst="rect">
                      <a:avLst/>
                    </a:prstGeom>
                    <a:noFill/>
                    <a:ln>
                      <a:noFill/>
                    </a:ln>
                  </pic:spPr>
                </pic:pic>
              </a:graphicData>
            </a:graphic>
          </wp:inline>
        </w:drawing>
      </w:r>
    </w:p>
    <w:p w14:paraId="4F981B3A">
      <w:pPr>
        <w:ind w:firstLine="480" w:firstLineChars="200"/>
        <w:rPr>
          <w:rFonts w:hint="default" w:eastAsia="宋体"/>
          <w:lang w:val="en-US" w:eastAsia="zh-CN"/>
        </w:rPr>
      </w:pPr>
      <w:r>
        <w:rPr>
          <w:rFonts w:hint="eastAsia"/>
          <w:lang w:val="en-US" w:eastAsia="zh-CN"/>
        </w:rPr>
        <w:t>4、业务基础支撑与行政监管平台受理业务后，补正、予以修复、不予修复的审核结果均通过短信发送至对应市场主体</w:t>
      </w:r>
    </w:p>
    <w:sectPr>
      <w:headerReference r:id="rId3" w:type="default"/>
      <w:footerReference r:id="rId4"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6585E">
    <w:pPr>
      <w:jc w:val="center"/>
    </w:pPr>
    <w:r>
      <w:rPr>
        <w:rFonts w:ascii="宋体" w:hAnsi="宋体" w:eastAsia="宋体" w:cs="宋体"/>
        <w:sz w:val="21"/>
        <w:szCs w:val="21"/>
      </w:rPr>
      <w:fldChar w:fldCharType="begin"/>
    </w:r>
    <w:r>
      <w:rPr>
        <w:rFonts w:ascii="宋体" w:hAnsi="宋体" w:eastAsia="宋体" w:cs="宋体"/>
        <w:sz w:val="21"/>
        <w:szCs w:val="21"/>
      </w:rPr>
      <w:instrText xml:space="preserve">PAGE</w:instrText>
    </w:r>
    <w:r>
      <w:rPr>
        <w:rFonts w:ascii="宋体" w:hAnsi="宋体" w:eastAsia="宋体" w:cs="宋体"/>
        <w:sz w:val="21"/>
        <w:szCs w:val="21"/>
      </w:rPr>
      <w:fldChar w:fldCharType="separate"/>
    </w:r>
    <w:r>
      <w:rPr>
        <w:rFonts w:ascii="宋体" w:hAnsi="宋体" w:eastAsia="宋体" w:cs="宋体"/>
        <w:sz w:val="21"/>
        <w:szCs w:val="21"/>
      </w:rPr>
      <w:fldChar w:fldCharType="end"/>
    </w:r>
    <w:r>
      <w:rPr>
        <w:rFonts w:ascii="宋体" w:hAnsi="宋体" w:eastAsia="宋体" w:cs="宋体"/>
        <w:sz w:val="21"/>
        <w:szCs w:val="21"/>
      </w:rPr>
      <w:t xml:space="preserve"> / </w:t>
    </w:r>
    <w:r>
      <w:rPr>
        <w:rFonts w:ascii="宋体" w:hAnsi="宋体" w:eastAsia="宋体" w:cs="宋体"/>
        <w:sz w:val="21"/>
        <w:szCs w:val="21"/>
      </w:rPr>
      <w:fldChar w:fldCharType="begin"/>
    </w:r>
    <w:r>
      <w:rPr>
        <w:rFonts w:ascii="宋体" w:hAnsi="宋体" w:eastAsia="宋体" w:cs="宋体"/>
        <w:sz w:val="21"/>
        <w:szCs w:val="21"/>
      </w:rPr>
      <w:instrText xml:space="preserve">NUMPAGES</w:instrText>
    </w:r>
    <w:r>
      <w:rPr>
        <w:rFonts w:ascii="宋体" w:hAnsi="宋体" w:eastAsia="宋体" w:cs="宋体"/>
        <w:sz w:val="21"/>
        <w:szCs w:val="21"/>
      </w:rPr>
      <w:fldChar w:fldCharType="separate"/>
    </w:r>
    <w:r>
      <w:rPr>
        <w:rFonts w:ascii="宋体" w:hAnsi="宋体" w:eastAsia="宋体" w:cs="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B140C">
    <w:pPr>
      <w:pBdr>
        <w:bottom w:val="single" w:color="808080" w:sz="4" w:space="4"/>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2372D"/>
    <w:multiLevelType w:val="singleLevel"/>
    <w:tmpl w:val="A542372D"/>
    <w:lvl w:ilvl="0" w:tentative="0">
      <w:start w:val="1"/>
      <w:numFmt w:val="decimal"/>
      <w:suff w:val="nothing"/>
      <w:lvlText w:val="%1、"/>
      <w:lvlJc w:val="left"/>
    </w:lvl>
  </w:abstractNum>
  <w:abstractNum w:abstractNumId="1">
    <w:nsid w:val="18BE67E5"/>
    <w:multiLevelType w:val="singleLevel"/>
    <w:tmpl w:val="18BE67E5"/>
    <w:lvl w:ilvl="0" w:tentative="0">
      <w:start w:val="2"/>
      <w:numFmt w:val="decimal"/>
      <w:suff w:val="nothing"/>
      <w:lvlText w:val="%1、"/>
      <w:lvlJc w:val="left"/>
    </w:lvl>
  </w:abstractNum>
  <w:abstractNum w:abstractNumId="2">
    <w:nsid w:val="5FE1673D"/>
    <w:multiLevelType w:val="singleLevel"/>
    <w:tmpl w:val="5FE1673D"/>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isplayBackgroundShape w:val="1"/>
  <w:documentProtection w:enforcement="0"/>
  <w:compat>
    <w:useFELayout/>
    <w:compatSetting w:name="compatibilityMode" w:uri="http://schemas.microsoft.com/office/word" w:val="15"/>
  </w:compat>
  <w:rsids>
    <w:rsidRoot w:val="00000000"/>
    <w:rsid w:val="000E6D09"/>
    <w:rsid w:val="003532FE"/>
    <w:rsid w:val="02816CCE"/>
    <w:rsid w:val="03E5328D"/>
    <w:rsid w:val="0B64718D"/>
    <w:rsid w:val="0B865355"/>
    <w:rsid w:val="0C1B3CF0"/>
    <w:rsid w:val="0FAD1733"/>
    <w:rsid w:val="0FCE1079"/>
    <w:rsid w:val="118063A3"/>
    <w:rsid w:val="19A74E14"/>
    <w:rsid w:val="19C57049"/>
    <w:rsid w:val="1A27385F"/>
    <w:rsid w:val="1A9C1C7A"/>
    <w:rsid w:val="1B83540D"/>
    <w:rsid w:val="1D3A5FA0"/>
    <w:rsid w:val="1ED16490"/>
    <w:rsid w:val="22837AA1"/>
    <w:rsid w:val="263E08AF"/>
    <w:rsid w:val="2B512E32"/>
    <w:rsid w:val="2C2C73FB"/>
    <w:rsid w:val="2D4542D1"/>
    <w:rsid w:val="31B1462B"/>
    <w:rsid w:val="32E0684A"/>
    <w:rsid w:val="35613C72"/>
    <w:rsid w:val="361C5DEB"/>
    <w:rsid w:val="362F5B1E"/>
    <w:rsid w:val="3EE53B65"/>
    <w:rsid w:val="3F016454"/>
    <w:rsid w:val="3F081602"/>
    <w:rsid w:val="3F7706B8"/>
    <w:rsid w:val="40DC68A2"/>
    <w:rsid w:val="43DE0B83"/>
    <w:rsid w:val="447137A5"/>
    <w:rsid w:val="45C5024D"/>
    <w:rsid w:val="463B2D55"/>
    <w:rsid w:val="469A6FE4"/>
    <w:rsid w:val="49BE56DF"/>
    <w:rsid w:val="4BAB57EF"/>
    <w:rsid w:val="522B58DB"/>
    <w:rsid w:val="53476745"/>
    <w:rsid w:val="54260108"/>
    <w:rsid w:val="54B0031A"/>
    <w:rsid w:val="554C3B9F"/>
    <w:rsid w:val="56E04EE6"/>
    <w:rsid w:val="56F75D8C"/>
    <w:rsid w:val="584D65AC"/>
    <w:rsid w:val="5990015A"/>
    <w:rsid w:val="5B5C4D58"/>
    <w:rsid w:val="5B8E7542"/>
    <w:rsid w:val="5EB822A5"/>
    <w:rsid w:val="60EB4BB4"/>
    <w:rsid w:val="640F6E0B"/>
    <w:rsid w:val="648C045C"/>
    <w:rsid w:val="66A001EE"/>
    <w:rsid w:val="6A413A96"/>
    <w:rsid w:val="6ACB7804"/>
    <w:rsid w:val="6BA37E39"/>
    <w:rsid w:val="6BD15F74"/>
    <w:rsid w:val="6C375151"/>
    <w:rsid w:val="6D417909"/>
    <w:rsid w:val="6DF205FB"/>
    <w:rsid w:val="6FDC565A"/>
    <w:rsid w:val="73FE0302"/>
    <w:rsid w:val="757E794D"/>
    <w:rsid w:val="7A8C2B0C"/>
    <w:rsid w:val="7AF64429"/>
    <w:rsid w:val="7B2E3BC3"/>
    <w:rsid w:val="7B454A69"/>
    <w:rsid w:val="7EE736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sz w:val="24"/>
      <w:szCs w:val="24"/>
    </w:rPr>
  </w:style>
  <w:style w:type="paragraph" w:styleId="2">
    <w:name w:val="heading 1"/>
    <w:next w:val="1"/>
    <w:qFormat/>
    <w:uiPriority w:val="0"/>
    <w:pPr>
      <w:spacing w:before="480" w:after="360" w:line="360" w:lineRule="auto"/>
      <w:jc w:val="center"/>
      <w:outlineLvl w:val="0"/>
    </w:pPr>
    <w:rPr>
      <w:rFonts w:ascii="微软雅黑" w:hAnsi="微软雅黑" w:eastAsia="微软雅黑" w:cs="微软雅黑"/>
      <w:b/>
      <w:bCs/>
      <w:color w:val="000000"/>
      <w:sz w:val="44"/>
      <w:szCs w:val="44"/>
    </w:rPr>
  </w:style>
  <w:style w:type="paragraph" w:styleId="3">
    <w:name w:val="heading 2"/>
    <w:next w:val="1"/>
    <w:qFormat/>
    <w:uiPriority w:val="0"/>
    <w:pPr>
      <w:spacing w:before="360" w:after="240" w:line="360" w:lineRule="auto"/>
      <w:outlineLvl w:val="1"/>
    </w:pPr>
    <w:rPr>
      <w:rFonts w:ascii="微软雅黑" w:hAnsi="微软雅黑" w:eastAsia="宋体" w:cs="微软雅黑"/>
      <w:b/>
      <w:bCs/>
      <w:color w:val="000000"/>
      <w:sz w:val="28"/>
      <w:szCs w:val="32"/>
    </w:rPr>
  </w:style>
  <w:style w:type="paragraph" w:styleId="4">
    <w:name w:val="heading 3"/>
    <w:next w:val="1"/>
    <w:qFormat/>
    <w:uiPriority w:val="0"/>
    <w:pPr>
      <w:spacing w:before="240" w:after="180" w:line="360" w:lineRule="auto"/>
      <w:outlineLvl w:val="2"/>
    </w:pPr>
    <w:rPr>
      <w:rFonts w:ascii="微软雅黑" w:hAnsi="微软雅黑" w:eastAsia="微软雅黑" w:cs="微软雅黑"/>
      <w:b/>
      <w:bCs/>
      <w:color w:val="000000"/>
      <w:sz w:val="28"/>
      <w:szCs w:val="28"/>
    </w:rPr>
  </w:style>
  <w:style w:type="paragraph" w:styleId="5">
    <w:name w:val="heading 4"/>
    <w:next w:val="1"/>
    <w:qFormat/>
    <w:uiPriority w:val="0"/>
    <w:pPr>
      <w:spacing w:before="180" w:after="120" w:line="360" w:lineRule="auto"/>
      <w:outlineLvl w:val="3"/>
    </w:pPr>
    <w:rPr>
      <w:rFonts w:ascii="微软雅黑" w:hAnsi="微软雅黑" w:eastAsia="微软雅黑" w:cs="微软雅黑"/>
      <w:b/>
      <w:bCs/>
      <w:color w:val="000000"/>
      <w:sz w:val="24"/>
      <w:szCs w:val="24"/>
    </w:rPr>
  </w:style>
  <w:style w:type="paragraph" w:styleId="6">
    <w:name w:val="heading 5"/>
    <w:next w:val="1"/>
    <w:qFormat/>
    <w:uiPriority w:val="0"/>
    <w:pPr>
      <w:spacing w:before="120" w:after="80" w:line="360" w:lineRule="auto"/>
      <w:ind w:firstLine="240"/>
      <w:outlineLvl w:val="4"/>
    </w:pPr>
    <w:rPr>
      <w:rFonts w:ascii="宋体" w:hAnsi="宋体" w:eastAsia="宋体" w:cs="宋体"/>
      <w:b/>
      <w:bCs/>
      <w:color w:val="000000"/>
      <w:sz w:val="24"/>
      <w:szCs w:val="24"/>
    </w:rPr>
  </w:style>
  <w:style w:type="paragraph" w:styleId="7">
    <w:name w:val="heading 6"/>
    <w:next w:val="1"/>
    <w:qFormat/>
    <w:uiPriority w:val="0"/>
    <w:rPr>
      <w:rFonts w:ascii="宋体" w:hAnsi="宋体" w:eastAsia="宋体" w:cs="宋体"/>
      <w:color w:val="1F4D78"/>
      <w:sz w:val="24"/>
      <w:szCs w:val="24"/>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8">
    <w:name w:val="caption"/>
    <w:qFormat/>
    <w:uiPriority w:val="0"/>
    <w:pPr>
      <w:spacing w:before="60" w:after="240"/>
      <w:jc w:val="center"/>
    </w:pPr>
    <w:rPr>
      <w:rFonts w:ascii="宋体" w:hAnsi="宋体" w:eastAsia="宋体" w:cs="宋体"/>
      <w:color w:val="595959"/>
      <w:sz w:val="21"/>
      <w:szCs w:val="21"/>
    </w:rPr>
  </w:style>
  <w:style w:type="paragraph" w:styleId="9">
    <w:name w:val="endnote text"/>
    <w:link w:val="21"/>
    <w:semiHidden/>
    <w:unhideWhenUsed/>
    <w:qFormat/>
    <w:uiPriority w:val="99"/>
    <w:pPr>
      <w:spacing w:after="0" w:line="240" w:lineRule="auto"/>
    </w:pPr>
    <w:rPr>
      <w:rFonts w:ascii="宋体" w:hAnsi="宋体" w:eastAsia="宋体" w:cs="宋体"/>
      <w:sz w:val="20"/>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link w:val="20"/>
    <w:semiHidden/>
    <w:unhideWhenUsed/>
    <w:qFormat/>
    <w:uiPriority w:val="99"/>
    <w:pPr>
      <w:spacing w:after="0" w:line="240" w:lineRule="auto"/>
    </w:pPr>
    <w:rPr>
      <w:rFonts w:ascii="宋体" w:hAnsi="宋体" w:eastAsia="宋体" w:cs="宋体"/>
      <w:sz w:val="20"/>
      <w:szCs w:val="20"/>
    </w:rPr>
  </w:style>
  <w:style w:type="paragraph" w:styleId="13">
    <w:name w:val="Title"/>
    <w:qFormat/>
    <w:uiPriority w:val="0"/>
    <w:rPr>
      <w:rFonts w:ascii="宋体" w:hAnsi="宋体" w:eastAsia="宋体" w:cs="宋体"/>
      <w:sz w:val="56"/>
      <w:szCs w:val="56"/>
    </w:rPr>
  </w:style>
  <w:style w:type="character" w:styleId="16">
    <w:name w:val="endnote reference"/>
    <w:semiHidden/>
    <w:unhideWhenUsed/>
    <w:qFormat/>
    <w:uiPriority w:val="99"/>
    <w:rPr>
      <w:vertAlign w:val="superscript"/>
    </w:rPr>
  </w:style>
  <w:style w:type="character" w:styleId="17">
    <w:name w:val="Hyperlink"/>
    <w:unhideWhenUsed/>
    <w:qFormat/>
    <w:uiPriority w:val="99"/>
    <w:rPr>
      <w:color w:val="0563C1"/>
      <w:u w:val="single"/>
    </w:rPr>
  </w:style>
  <w:style w:type="character" w:styleId="18">
    <w:name w:val="footnote reference"/>
    <w:semiHidden/>
    <w:unhideWhenUsed/>
    <w:qFormat/>
    <w:uiPriority w:val="99"/>
    <w:rPr>
      <w:vertAlign w:val="superscript"/>
    </w:rPr>
  </w:style>
  <w:style w:type="paragraph" w:styleId="19">
    <w:name w:val="List Paragraph"/>
    <w:qFormat/>
    <w:uiPriority w:val="0"/>
    <w:rPr>
      <w:rFonts w:ascii="宋体" w:hAnsi="宋体" w:eastAsia="宋体" w:cs="宋体"/>
      <w:sz w:val="24"/>
      <w:szCs w:val="24"/>
    </w:rPr>
  </w:style>
  <w:style w:type="character" w:customStyle="1" w:styleId="20">
    <w:name w:val="Footnote Text Char"/>
    <w:link w:val="12"/>
    <w:semiHidden/>
    <w:unhideWhenUsed/>
    <w:qFormat/>
    <w:uiPriority w:val="99"/>
    <w:rPr>
      <w:sz w:val="20"/>
      <w:szCs w:val="20"/>
    </w:rPr>
  </w:style>
  <w:style w:type="character" w:customStyle="1" w:styleId="21">
    <w:name w:val="Endnote Text Char"/>
    <w:link w:val="9"/>
    <w:semiHidden/>
    <w:unhideWhenUsed/>
    <w:qFormat/>
    <w:uiPriority w:val="99"/>
    <w:rPr>
      <w:sz w:val="20"/>
      <w:szCs w:val="20"/>
    </w:rPr>
  </w:style>
  <w:style w:type="paragraph" w:customStyle="1" w:styleId="22">
    <w:name w:val="Body"/>
    <w:qFormat/>
    <w:uiPriority w:val="0"/>
    <w:pPr>
      <w:spacing w:after="0" w:line="360" w:lineRule="auto"/>
      <w:ind w:firstLine="480"/>
    </w:pPr>
    <w:rPr>
      <w:rFonts w:ascii="宋体" w:hAnsi="宋体" w:eastAsia="宋体" w:cs="宋体"/>
      <w:sz w:val="24"/>
      <w:szCs w:val="24"/>
    </w:rPr>
  </w:style>
  <w:style w:type="paragraph" w:customStyle="1" w:styleId="23">
    <w:name w:val="Table Text"/>
    <w:qFormat/>
    <w:uiPriority w:val="0"/>
    <w:pPr>
      <w:spacing w:line="280" w:lineRule="auto"/>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1309</Words>
  <Characters>1361</Characters>
  <TotalTime>27</TotalTime>
  <ScaleCrop>false</ScaleCrop>
  <LinksUpToDate>false</LinksUpToDate>
  <CharactersWithSpaces>1368</CharactersWithSpaces>
  <Application>WPS Office_12.1.0.26381_F1E327BC-269C-435d-A152-05C5408002CA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2026-07-01T02:14:00Z</dcterms:created>
  <dc:creator>Word-Master</dc:creator>
  <cp:lastModifiedBy>热干面</cp:lastModifiedBy>
  <dcterms:modified xsi:type="dcterms:W3CDTF">2026-07-07T02:59:26Z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eyJoZGlkIjoiYjA5ODk4OTNlNWNiNTIzZWZmOWQ4Mzk1NzNmOWFkZGEiLCJ1c2VySWQiOiIxOTU0MTc2NzAifQ==</vt:lpwstr>
  </property>
  <property fmtid="{D5CDD505-2E9C-101B-9397-08002B2CF9AE}" pid="3" name="KSOProductBuildVer">
    <vt:lpwstr>2052-12.1.0.26381</vt:lpwstr>
  </property>
  <property fmtid="{D5CDD505-2E9C-101B-9397-08002B2CF9AE}" pid="4" name="ICV">
    <vt:lpwstr>499055377CFB42168B085C10F038FCAB_13</vt:lpwstr>
  </property>
</Properties>
</file>