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方正小标宋_GBK"/>
          <w:kern w:val="0"/>
          <w:sz w:val="32"/>
          <w:szCs w:val="32"/>
        </w:rPr>
      </w:pPr>
      <w:r>
        <w:rPr>
          <w:rFonts w:hint="eastAsia" w:ascii="黑体" w:hAnsi="黑体" w:eastAsia="黑体" w:cs="方正小标宋_GBK"/>
          <w:kern w:val="0"/>
          <w:sz w:val="32"/>
          <w:szCs w:val="32"/>
        </w:rPr>
        <w:t>附件1</w:t>
      </w:r>
      <w:bookmarkStart w:id="0" w:name="_GoBack"/>
      <w:bookmarkEnd w:id="0"/>
    </w:p>
    <w:p>
      <w:pPr>
        <w:spacing w:line="60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交易现场代理机构行为准则</w:t>
      </w:r>
    </w:p>
    <w:tbl>
      <w:tblPr>
        <w:tblStyle w:val="3"/>
        <w:tblW w:w="14310" w:type="dxa"/>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497"/>
        <w:gridCol w:w="7935"/>
        <w:gridCol w:w="1014"/>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61" w:type="dxa"/>
            <w:shd w:val="clear" w:color="auto" w:fill="auto"/>
            <w:noWrap/>
            <w:vAlign w:val="center"/>
          </w:tcPr>
          <w:p>
            <w:pPr>
              <w:widowControl/>
              <w:jc w:val="center"/>
              <w:textAlignment w:val="center"/>
              <w:rPr>
                <w:rFonts w:ascii="宋体" w:hAnsi="宋体" w:cs="宋体"/>
                <w:b/>
                <w:sz w:val="22"/>
              </w:rPr>
            </w:pPr>
            <w:r>
              <w:rPr>
                <w:rFonts w:hint="eastAsia" w:ascii="宋体" w:hAnsi="宋体" w:cs="宋体"/>
                <w:b/>
                <w:kern w:val="0"/>
                <w:sz w:val="22"/>
                <w:lang w:bidi="ar"/>
              </w:rPr>
              <w:t>交易环节</w:t>
            </w:r>
          </w:p>
        </w:tc>
        <w:tc>
          <w:tcPr>
            <w:tcW w:w="1497" w:type="dxa"/>
            <w:shd w:val="clear" w:color="auto" w:fill="auto"/>
            <w:noWrap/>
            <w:vAlign w:val="center"/>
          </w:tcPr>
          <w:p>
            <w:pPr>
              <w:widowControl/>
              <w:jc w:val="center"/>
              <w:textAlignment w:val="center"/>
              <w:rPr>
                <w:rFonts w:ascii="宋体" w:hAnsi="宋体" w:cs="宋体"/>
                <w:b/>
                <w:sz w:val="22"/>
              </w:rPr>
            </w:pPr>
            <w:r>
              <w:rPr>
                <w:rFonts w:hint="eastAsia" w:ascii="宋体" w:hAnsi="宋体" w:cs="宋体"/>
                <w:b/>
                <w:kern w:val="0"/>
                <w:sz w:val="22"/>
                <w:lang w:bidi="ar"/>
              </w:rPr>
              <w:t>工作程序</w:t>
            </w:r>
          </w:p>
        </w:tc>
        <w:tc>
          <w:tcPr>
            <w:tcW w:w="7935" w:type="dxa"/>
            <w:shd w:val="clear" w:color="auto" w:fill="auto"/>
            <w:noWrap/>
            <w:vAlign w:val="center"/>
          </w:tcPr>
          <w:p>
            <w:pPr>
              <w:widowControl/>
              <w:jc w:val="center"/>
              <w:textAlignment w:val="center"/>
              <w:rPr>
                <w:rFonts w:ascii="宋体" w:hAnsi="宋体" w:cs="宋体"/>
                <w:b/>
                <w:sz w:val="22"/>
              </w:rPr>
            </w:pPr>
            <w:r>
              <w:rPr>
                <w:rFonts w:hint="eastAsia" w:ascii="宋体" w:hAnsi="宋体" w:cs="宋体"/>
                <w:b/>
                <w:kern w:val="0"/>
                <w:sz w:val="22"/>
                <w:lang w:bidi="ar"/>
              </w:rPr>
              <w:t>不规范行为具体内容</w:t>
            </w:r>
          </w:p>
        </w:tc>
        <w:tc>
          <w:tcPr>
            <w:tcW w:w="1014" w:type="dxa"/>
            <w:shd w:val="clear" w:color="auto" w:fill="auto"/>
            <w:noWrap/>
            <w:vAlign w:val="center"/>
          </w:tcPr>
          <w:p>
            <w:pPr>
              <w:widowControl/>
              <w:jc w:val="center"/>
              <w:textAlignment w:val="center"/>
              <w:rPr>
                <w:rFonts w:ascii="宋体" w:hAnsi="宋体" w:cs="宋体"/>
                <w:b/>
                <w:sz w:val="22"/>
              </w:rPr>
            </w:pPr>
            <w:r>
              <w:rPr>
                <w:rFonts w:hint="eastAsia" w:ascii="宋体" w:hAnsi="宋体" w:cs="宋体"/>
                <w:b/>
                <w:kern w:val="0"/>
                <w:sz w:val="22"/>
                <w:lang w:bidi="ar"/>
              </w:rPr>
              <w:t>扣分</w:t>
            </w:r>
          </w:p>
        </w:tc>
        <w:tc>
          <w:tcPr>
            <w:tcW w:w="2503" w:type="dxa"/>
            <w:shd w:val="clear" w:color="auto" w:fill="auto"/>
            <w:noWrap/>
            <w:vAlign w:val="center"/>
          </w:tcPr>
          <w:p>
            <w:pPr>
              <w:widowControl/>
              <w:jc w:val="center"/>
              <w:textAlignment w:val="center"/>
              <w:rPr>
                <w:rFonts w:ascii="宋体" w:hAnsi="宋体" w:cs="宋体"/>
                <w:b/>
                <w:sz w:val="22"/>
              </w:rPr>
            </w:pPr>
            <w:r>
              <w:rPr>
                <w:rFonts w:hint="eastAsia" w:ascii="宋体" w:hAnsi="宋体" w:cs="宋体"/>
                <w:b/>
                <w:kern w:val="0"/>
                <w:sz w:val="22"/>
                <w:lang w:bidi="ar"/>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restart"/>
            <w:shd w:val="clear" w:color="auto" w:fill="auto"/>
            <w:vAlign w:val="center"/>
          </w:tcPr>
          <w:p>
            <w:pPr>
              <w:widowControl/>
              <w:jc w:val="center"/>
              <w:textAlignment w:val="center"/>
              <w:rPr>
                <w:rFonts w:ascii="宋体" w:hAnsi="宋体" w:cs="宋体"/>
                <w:b/>
                <w:sz w:val="22"/>
              </w:rPr>
            </w:pPr>
            <w:r>
              <w:rPr>
                <w:rFonts w:hint="eastAsia" w:ascii="宋体" w:hAnsi="宋体" w:cs="宋体"/>
                <w:b/>
                <w:kern w:val="0"/>
                <w:sz w:val="22"/>
                <w:lang w:bidi="ar"/>
              </w:rPr>
              <w:t>代理合同环节</w:t>
            </w:r>
          </w:p>
        </w:tc>
        <w:tc>
          <w:tcPr>
            <w:tcW w:w="1497"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招标代理委托合同签订</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1.未与招标人签定招标代理委托合同</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《不规范行为具体情形》BG.1.1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b/>
                <w:sz w:val="22"/>
              </w:rPr>
            </w:pPr>
          </w:p>
        </w:tc>
        <w:tc>
          <w:tcPr>
            <w:tcW w:w="1497"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招标代理收费</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2.以明显不合理低价承揽业务的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《不规范行为具体情形》BG.1.2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b/>
                <w:sz w:val="22"/>
              </w:rPr>
            </w:pPr>
          </w:p>
        </w:tc>
        <w:tc>
          <w:tcPr>
            <w:tcW w:w="1497"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招标代理项目组人员</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3.招标公告及招标文件中的招标代理项目组人员与招标代理委托合同中注明的人员不一致</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b/>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4.招标代理项目负责人变更不符合《监管办法》规定的，或者招标代理项目负责人变更，未经招标人同意</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b/>
                <w:sz w:val="22"/>
              </w:rPr>
            </w:pPr>
          </w:p>
        </w:tc>
        <w:tc>
          <w:tcPr>
            <w:tcW w:w="1497"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委托代理权限</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5.未经招标人同意，转让招标代理业务</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项目受理环节</w:t>
            </w:r>
          </w:p>
        </w:tc>
        <w:tc>
          <w:tcPr>
            <w:tcW w:w="1497"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资格预审文件、招标文件编制</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6.未完成相关行政主管部门项目审批、核准、备案等手续，或项目内容、招标方式变更未经相关行政主管部门批准，就进行招标文件备案或者进场交易预约</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7.应采用全流程电子化招标方式的交易项目，未经行政监督部门备案同意擅自采用线下交易方式（即纸质标方式）</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8.未规范使用标准文件，应勾选的未勾选、错误勾选、应填写的内容未填写、擅自修改标准文件不允许修改的内容等情形，按每出现一项错误扣分（同类错误仅扣一次）</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9.投标人资质设定不符合国家规定的资质标准</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restart"/>
            <w:shd w:val="clear" w:color="auto" w:fill="auto"/>
            <w:vAlign w:val="center"/>
          </w:tcPr>
          <w:p>
            <w:pPr>
              <w:jc w:val="center"/>
              <w:rPr>
                <w:rFonts w:ascii="宋体" w:hAnsi="宋体" w:cs="宋体"/>
                <w:sz w:val="22"/>
              </w:rPr>
            </w:pPr>
            <w:r>
              <w:rPr>
                <w:rFonts w:hint="eastAsia" w:ascii="宋体" w:hAnsi="宋体" w:cs="宋体"/>
                <w:kern w:val="0"/>
                <w:sz w:val="22"/>
                <w:lang w:bidi="ar"/>
              </w:rPr>
              <w:t>项目受理环节</w:t>
            </w:r>
          </w:p>
        </w:tc>
        <w:tc>
          <w:tcPr>
            <w:tcW w:w="1497" w:type="dxa"/>
            <w:vMerge w:val="restart"/>
            <w:shd w:val="clear" w:color="auto" w:fill="auto"/>
            <w:vAlign w:val="center"/>
          </w:tcPr>
          <w:p>
            <w:pPr>
              <w:jc w:val="center"/>
              <w:rPr>
                <w:rFonts w:ascii="宋体" w:hAnsi="宋体" w:cs="宋体"/>
                <w:sz w:val="22"/>
              </w:rPr>
            </w:pPr>
            <w:r>
              <w:rPr>
                <w:rFonts w:hint="eastAsia" w:ascii="宋体" w:hAnsi="宋体" w:cs="宋体"/>
                <w:kern w:val="0"/>
                <w:sz w:val="22"/>
                <w:lang w:bidi="ar"/>
              </w:rPr>
              <w:t>资格预审文件、招标文件编制</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10.项目基本情况表述不明晰，影响资质、业绩、奖项等设置</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11.资格预审文件、招标文件就同一事项的规定或约定模糊不清或前后不一致，导致评标难以进行或者引发争议</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12.类似工程业绩设置不符合省行政监督部门的规定</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13.招标文件未将否决条款集中载明</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14.招标文件中出现法律、法规、规章和规范性文件禁止条款，按每出现一项禁止条款扣分</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15.政府投资项目委派业主评委未按照省和行业规定执行</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资格预审公告、招标公告内容及发布</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16.未载明招标人及其招标代理机构的名称、地址、联系人、联系方式，或者填写错误</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Times New Roman" w:hAnsi="Times New Roman"/>
                <w:szCs w:val="24"/>
                <w:lang w:val="en"/>
              </w:rPr>
            </w:pPr>
            <w:r>
              <w:rPr>
                <w:rFonts w:ascii="Times New Roman" w:hAnsi="Times New Roman"/>
                <w:szCs w:val="24"/>
                <w:lang w:val="en"/>
              </w:rPr>
              <w:t>《不规范行为具体情形》</w:t>
            </w:r>
            <w:r>
              <w:rPr>
                <w:rFonts w:hint="eastAsia" w:ascii="宋体" w:hAnsi="宋体" w:cs="宋体"/>
                <w:kern w:val="0"/>
                <w:sz w:val="22"/>
                <w:lang w:bidi="ar"/>
              </w:rPr>
              <w:t>BG.5.1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17.未载明招标项目的性质、数量、实施地点和时间以及获取文件的办法等事项，或者填写错误</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18.未载明潜在投标人访问电子招标投标交易平台的网址和方法，或者填写错误</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19.因招标代理机构原因未将数据电文形式的资格预审文件、招标文件加载至电子招标投标交易平台</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资格预审文件、招标文件的澄清、修改</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20.招标文件澄清、修改时增加或者删除否决性条款，未将修改后完整的否决性条款集中载明</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21.同一资格预审文件或者招标文件因代理机构原因澄清或修改次数超过2次</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招标项目技术标准、合同条款编制</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22.国家对招标项目的技术、标准有规定的，未按照其规定在招标文件中提出相应要求</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restart"/>
            <w:shd w:val="clear" w:color="auto" w:fill="auto"/>
            <w:vAlign w:val="center"/>
          </w:tcPr>
          <w:p>
            <w:pPr>
              <w:jc w:val="center"/>
              <w:rPr>
                <w:rFonts w:ascii="宋体" w:hAnsi="宋体" w:cs="宋体"/>
                <w:sz w:val="22"/>
              </w:rPr>
            </w:pPr>
            <w:r>
              <w:rPr>
                <w:rFonts w:hint="eastAsia" w:ascii="宋体" w:hAnsi="宋体" w:cs="宋体"/>
                <w:kern w:val="0"/>
                <w:sz w:val="22"/>
                <w:lang w:bidi="ar"/>
              </w:rPr>
              <w:t>项目受理环节</w:t>
            </w: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23.招标文件规定的各项技术标准不符合国家强制性标准</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24.招标文件引用失效的技术规范、标准</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25.招标文件未载明拟签订合同的主要条款</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资格预审办法、评标办法编制</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26.资格预审文件未载明资格预审条件、标准和方法</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27.资格预审办法选取不符合省行政监督部门的规定</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28.招标文件未明确规定所有评审因素，或者未将评审因素进行量化</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29.评标办法选取不符合省行政监督部门的规定</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30.评标办法的具体指标选取不符合省行政监督部门的规定，按每出现一项错误扣分（同类错误仅扣一次）</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招标文件中投标有效期、投标保证金、履约保证金、最高投标限价等内容</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31.招标文件未载明投标有效期</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32.招标文件规定的投标有效期起算时间不符合招标投标法律法规规定</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33.招标文件中载明的投标保证不符合《湖南省省本级公共资源交易保证金统一管理办法》的规定</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34.招标文件中载明的投标保证金提交截止时间与投标文件提交截止时间不一致</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35.招标文件中载明的履约保证金不符合省行政监督部门的规定</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vMerge w:val="restart"/>
            <w:shd w:val="clear" w:color="auto" w:fill="auto"/>
            <w:vAlign w:val="center"/>
          </w:tcPr>
          <w:p>
            <w:pPr>
              <w:jc w:val="center"/>
              <w:rPr>
                <w:rFonts w:ascii="宋体" w:hAnsi="宋体" w:cs="宋体"/>
                <w:sz w:val="22"/>
              </w:rPr>
            </w:pPr>
            <w:r>
              <w:rPr>
                <w:rFonts w:hint="eastAsia" w:ascii="宋体" w:hAnsi="宋体" w:cs="宋体"/>
                <w:kern w:val="0"/>
                <w:sz w:val="22"/>
                <w:lang w:bidi="ar"/>
              </w:rPr>
              <w:t>项目受理环节</w:t>
            </w: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36.招标项目设有最高投标限价，但招标文件中未明确最高投标限价具体金额</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项目进场受理</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37.不按交易中心项目受理流程和标准办理项目进场受理的；或无正当理由拒绝接受交易中心项目受理相关意见的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38.场地未预约成功就发布招标公告的，或预约进场交易的时间与招标公告或招标文件（采购文件）发布的时间不一致的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39.项目已完成场地预约，因故延期或终止，未按交易中心程序退订交易场地，造成交易资源浪费的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40.代理的项目在质疑、投诉、举报处理期间，隐瞒相关情况，未提供质疑、投诉、举报处理结果，使得交易项目“带病入场”的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41.复评项目、项目终（中）止、延期评审等特殊项目不按交易中心规定的流程操作，导致交易延误或浪费交易资源的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开标环节</w:t>
            </w:r>
          </w:p>
        </w:tc>
        <w:tc>
          <w:tcPr>
            <w:tcW w:w="1497"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招标代理项目组人员</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42.参加开标评标环节的招标代理项目组人员与招标代理委托合同中注明的人员不一致</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43.项目负责人没有按要求到场组织开标评标、处理异议</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开标</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44.招标代理机构在投标截止时间前未做好开标准备工作，导致无法开标或者开标延误</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45.招标代理机构在交易平台上录入信息有误，导致无法开标或者开标延误</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46.招标代理机构不按规定程序、公告时间开标，擅自提前或延迟开标</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47.纸质标项目在投标截止时间后仍接受投标文件的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48.对投标人在开标现场提出的异议，未按规定作出答复或者未按规定制作记录</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restart"/>
            <w:shd w:val="clear" w:color="auto" w:fill="auto"/>
            <w:vAlign w:val="center"/>
          </w:tcPr>
          <w:p>
            <w:pPr>
              <w:jc w:val="center"/>
              <w:rPr>
                <w:rFonts w:ascii="宋体" w:hAnsi="宋体" w:cs="宋体"/>
                <w:sz w:val="22"/>
              </w:rPr>
            </w:pPr>
            <w:r>
              <w:rPr>
                <w:rFonts w:hint="eastAsia" w:ascii="宋体" w:hAnsi="宋体" w:cs="宋体"/>
                <w:kern w:val="0"/>
                <w:sz w:val="22"/>
                <w:lang w:bidi="ar"/>
              </w:rPr>
              <w:t>开标环节</w:t>
            </w:r>
          </w:p>
        </w:tc>
        <w:tc>
          <w:tcPr>
            <w:tcW w:w="1497" w:type="dxa"/>
            <w:vMerge w:val="restart"/>
            <w:shd w:val="clear" w:color="auto" w:fill="auto"/>
            <w:vAlign w:val="center"/>
          </w:tcPr>
          <w:p>
            <w:pPr>
              <w:jc w:val="center"/>
              <w:rPr>
                <w:rFonts w:ascii="宋体" w:hAnsi="宋体" w:cs="宋体"/>
                <w:sz w:val="22"/>
              </w:rPr>
            </w:pPr>
            <w:r>
              <w:rPr>
                <w:rFonts w:hint="eastAsia" w:ascii="宋体" w:hAnsi="宋体" w:cs="宋体"/>
                <w:kern w:val="0"/>
                <w:sz w:val="22"/>
                <w:lang w:bidi="ar"/>
              </w:rPr>
              <w:t>开标</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49.实行资格预审的项目，招标人在进行资格审查时，改变载明的资格条件或者以没有载明的资格条件对潜在投标人或者投标人进行资格审查，招标代理机构未发现</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50.因工作失误、投标资格认定错误（如投标保函核对等）导致投标人的投标被错误拒绝或接受</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51.未按规定完整记录开标情况并形成开标记录表、未及时将开标记录情况发送至评标委员会，影响评标</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52.开标结束后，未按交易中心有关规定将样品或纸质评审资料等送入评标区，影响评标</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开标现场服务</w:t>
            </w: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53.开标现场，不服从交易中心工作人员管理、调度，或开标组织工作消极怠慢，允许或默许与该项目开标无关人员滞留开标室或开标席位的；或开标结束后，未及时退出开标室，超时占用资源的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54.不按交易中心现场管理规定佩穿标志马甲或工作牌等，经提醒后拒不配合的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专家抽取环节</w:t>
            </w:r>
          </w:p>
        </w:tc>
        <w:tc>
          <w:tcPr>
            <w:tcW w:w="1497"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专家抽取申请</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55.专家抽取申请信息填写不完整或有错误影响专家抽取工作正常进行，或者影响专家报酬支付</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56.未按交易中心相关规定和程序及时提交专家抽取申请，延误专家抽取时间的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1" w:type="dxa"/>
            <w:vMerge w:val="continue"/>
            <w:shd w:val="clear" w:color="auto" w:fill="auto"/>
            <w:vAlign w:val="center"/>
          </w:tcPr>
          <w:p>
            <w:pPr>
              <w:jc w:val="center"/>
              <w:rPr>
                <w:rFonts w:ascii="宋体" w:hAnsi="宋体" w:cs="宋体"/>
                <w:sz w:val="22"/>
              </w:rPr>
            </w:pPr>
          </w:p>
        </w:tc>
        <w:tc>
          <w:tcPr>
            <w:tcW w:w="1497"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专家抽取过程</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57.在交易中心专家抽取时，不按有关规定配合统一保管通信工具的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61" w:type="dxa"/>
            <w:vMerge w:val="continue"/>
            <w:shd w:val="clear" w:color="auto" w:fill="auto"/>
            <w:vAlign w:val="center"/>
          </w:tcPr>
          <w:p>
            <w:pPr>
              <w:jc w:val="center"/>
              <w:rPr>
                <w:rFonts w:ascii="宋体" w:hAnsi="宋体" w:cs="宋体"/>
                <w:sz w:val="22"/>
              </w:rPr>
            </w:pPr>
          </w:p>
        </w:tc>
        <w:tc>
          <w:tcPr>
            <w:tcW w:w="1497"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专家补抽</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58.不按有关规定及时开展专家补抽工作，或不熟悉专家库系统，导致补抽后专家数量不符合法律法规的；或未修改补抽专家集合时间，影响专家正常入区的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61" w:type="dxa"/>
            <w:vMerge w:val="continue"/>
            <w:shd w:val="clear" w:color="auto" w:fill="auto"/>
            <w:vAlign w:val="center"/>
          </w:tcPr>
          <w:p>
            <w:pPr>
              <w:jc w:val="center"/>
              <w:rPr>
                <w:rFonts w:ascii="宋体" w:hAnsi="宋体" w:cs="宋体"/>
                <w:sz w:val="22"/>
              </w:rPr>
            </w:pPr>
          </w:p>
        </w:tc>
        <w:tc>
          <w:tcPr>
            <w:tcW w:w="1497"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业主评委</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59.未按交易中心现场管理要求，及时组织录入招标人（采购人）评委信息，或信息录入有误，影响招标人（采购人）评委正常入区的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评标环节</w:t>
            </w:r>
          </w:p>
        </w:tc>
        <w:tc>
          <w:tcPr>
            <w:tcW w:w="1497"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评标</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60.按规定应当采取远程异地评标的项目，因招标代理机构原因未采用远程异地评标</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61.招标代理机构未向或未及时向评标委员会提供评标所需的重要信息和数据，或提供的重要信息和数据带有明示或者暗示倾向或者排斥特定投标人</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62.招标代理机构在交易平台上录入信息有误，导致无法正常评标</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63.招标代理机构对评标委员会提出的澄清问题回复错误，影响评标结果</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64.在交易中心现场，违规打探评标专家信息，或者违规与专家接触</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专家报酬支付</w:t>
            </w: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65.不按规定标准和方式支付专家报酬，或者向专家以外人员支付劳务费</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门禁管理</w:t>
            </w: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66.违反交易中心门禁管理有关要求，擅自冲闯门禁，或在门禁入口等相关区域蹲守、逗留，经提醒后拒不离开的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67.擅自进入专家等候区（休息区）、见证室、监督室等管控区域，经提醒后拒不离开的</w:t>
            </w:r>
          </w:p>
        </w:tc>
        <w:tc>
          <w:tcPr>
            <w:tcW w:w="101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专家餐预订</w:t>
            </w: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68.未按交易中心规定的方式按时预订评标专家餐，造成专家不能正常就餐的</w:t>
            </w:r>
          </w:p>
        </w:tc>
        <w:tc>
          <w:tcPr>
            <w:tcW w:w="101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69.利用专家餐、样品或其他机会，向评标专家传递影响评标公正资料、信息的</w:t>
            </w:r>
          </w:p>
        </w:tc>
        <w:tc>
          <w:tcPr>
            <w:tcW w:w="101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项目复核</w:t>
            </w: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70.评标过程中，不按照交易中心相关通知，延误澄清、复核等工作，或以不合理理由，拖延复核时间，拒不反馈复核意见的</w:t>
            </w:r>
          </w:p>
        </w:tc>
        <w:tc>
          <w:tcPr>
            <w:tcW w:w="101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71.项目复核时，不按电子交易系统设定的程序，超范围复核，或在复核过程中发表（或录入）有失公平意见，引导诱导、干扰专家独立评标判断，或反馈不合理复核意见等</w:t>
            </w:r>
          </w:p>
        </w:tc>
        <w:tc>
          <w:tcPr>
            <w:tcW w:w="101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标后环节</w:t>
            </w:r>
          </w:p>
        </w:tc>
        <w:tc>
          <w:tcPr>
            <w:tcW w:w="1497" w:type="dxa"/>
            <w:vMerge w:val="restart"/>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资格预审结果通知</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72.资格预审结束后，因招标代理机构原因未及时向资格预审申请人发出资格预审结果通知书</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73.资格预审结束后，因招标代理机构原因未将资格预审结果告知不合格的潜在投标人</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74.资格预审结束后，因招标代理机构原因泄露通过资格预审申请人的名称和数量</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中标候选人和中标结果公示</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75.招标人收到评标报告之日起3日内，因招标代理机构原因未发布中标候选人公示</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Times New Roman" w:hAnsi="Times New Roman"/>
                <w:szCs w:val="24"/>
                <w:lang w:val="en"/>
              </w:rPr>
            </w:pPr>
            <w:r>
              <w:rPr>
                <w:rFonts w:ascii="Times New Roman" w:hAnsi="Times New Roman"/>
                <w:szCs w:val="24"/>
                <w:lang w:val="en"/>
              </w:rPr>
              <w:t>《不规范行为具体情形》</w:t>
            </w:r>
            <w:r>
              <w:rPr>
                <w:rFonts w:hint="eastAsia" w:ascii="宋体" w:hAnsi="宋体" w:cs="宋体"/>
                <w:kern w:val="0"/>
                <w:sz w:val="22"/>
                <w:lang w:bidi="ar"/>
              </w:rPr>
              <w:t>BG.15.1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76.未使用行政监督部门颁发的标准文件编制中标候选人公示</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77.在中标候选人公示期间，接受不符合异议程序的质疑，且以此为理由暂停公示</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中标通知书发放及招标情况备案</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78.提交的招标情况备案资料不符合行政监督部门规定</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79.篡改招标情况备案资料</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80.中标人确定后，因招标代理机构原因未向中标人发出中标通知书</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保证金退还</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81.未及时申请发起保证金退还手续，或无故拖延保证金退还时间的，或项目存在异常情况时没有及时暂停保证金退还而导致退款</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标后稽查</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82.对行政监督部门标后稽查中查阅资料、调查有关情况的行为不积极配合</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83.标后稽查中未按要求及时提供资料及情况</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1" w:type="dxa"/>
            <w:vMerge w:val="continue"/>
            <w:shd w:val="clear" w:color="auto" w:fill="auto"/>
            <w:vAlign w:val="center"/>
          </w:tcPr>
          <w:p>
            <w:pPr>
              <w:jc w:val="center"/>
              <w:rPr>
                <w:rFonts w:ascii="宋体" w:hAnsi="宋体" w:cs="宋体"/>
                <w:sz w:val="22"/>
              </w:rPr>
            </w:pPr>
          </w:p>
        </w:tc>
        <w:tc>
          <w:tcPr>
            <w:tcW w:w="1497"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标后服务</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84.评标结束后，不按交易中心相关规定取走样品、纸质标等相关材料的</w:t>
            </w:r>
          </w:p>
        </w:tc>
        <w:tc>
          <w:tcPr>
            <w:tcW w:w="101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restart"/>
            <w:shd w:val="clear" w:color="auto" w:fill="auto"/>
            <w:vAlign w:val="center"/>
          </w:tcPr>
          <w:p>
            <w:pPr>
              <w:jc w:val="center"/>
              <w:rPr>
                <w:rFonts w:ascii="宋体" w:hAnsi="宋体" w:cs="宋体"/>
                <w:sz w:val="22"/>
              </w:rPr>
            </w:pPr>
            <w:r>
              <w:rPr>
                <w:rFonts w:hint="eastAsia" w:ascii="宋体" w:hAnsi="宋体" w:cs="宋体"/>
                <w:kern w:val="0"/>
                <w:sz w:val="22"/>
                <w:lang w:bidi="ar"/>
              </w:rPr>
              <w:t>标后环节</w:t>
            </w:r>
          </w:p>
        </w:tc>
        <w:tc>
          <w:tcPr>
            <w:tcW w:w="1497" w:type="dxa"/>
            <w:vMerge w:val="restart"/>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标后服务</w:t>
            </w: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85.纸质交易项目结束后，未按照规定及时、准确、完整填报项目交易信息，或归集项目资料的（包括评标报告、中标人投标文件电子版等）</w:t>
            </w:r>
          </w:p>
        </w:tc>
        <w:tc>
          <w:tcPr>
            <w:tcW w:w="101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left"/>
              <w:rPr>
                <w:rFonts w:ascii="宋体" w:hAnsi="宋体" w:cs="宋体"/>
                <w:sz w:val="22"/>
              </w:rPr>
            </w:pP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86.利用代理项目工作便利，违规收集评标专家信息（含专家专业、联系方式等），私自加入或发起专家微信群、QQ群等，组建“小圈子”。</w:t>
            </w:r>
          </w:p>
        </w:tc>
        <w:tc>
          <w:tcPr>
            <w:tcW w:w="101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left"/>
              <w:rPr>
                <w:rFonts w:ascii="宋体" w:hAnsi="宋体" w:cs="宋体"/>
                <w:sz w:val="22"/>
              </w:rPr>
            </w:pP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87.在代理项目过程中，发现招标人、投标人等有违法违规行为，故意隐瞒、不向行政监督部门或交易中心报告的</w:t>
            </w:r>
          </w:p>
        </w:tc>
        <w:tc>
          <w:tcPr>
            <w:tcW w:w="101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left"/>
              <w:rPr>
                <w:rFonts w:ascii="宋体" w:hAnsi="宋体" w:cs="宋体"/>
                <w:sz w:val="22"/>
              </w:rPr>
            </w:pPr>
          </w:p>
        </w:tc>
        <w:tc>
          <w:tcPr>
            <w:tcW w:w="7935" w:type="dxa"/>
            <w:shd w:val="clear" w:color="auto" w:fill="auto"/>
            <w:vAlign w:val="center"/>
          </w:tcPr>
          <w:p>
            <w:pPr>
              <w:widowControl/>
              <w:jc w:val="left"/>
              <w:textAlignment w:val="center"/>
              <w:rPr>
                <w:rFonts w:ascii="宋体" w:hAnsi="宋体" w:cs="宋体"/>
                <w:sz w:val="22"/>
              </w:rPr>
            </w:pPr>
            <w:r>
              <w:rPr>
                <w:rFonts w:hint="eastAsia" w:ascii="宋体" w:hAnsi="宋体" w:cs="宋体"/>
                <w:kern w:val="0"/>
                <w:sz w:val="22"/>
                <w:lang w:bidi="ar"/>
              </w:rPr>
              <w:t>88.不配合交易中心积极组织、协调、督促其代理项目相关市场主体交纳交易服务费，导致该项目交易服务费在催缴后30天内未交纳的</w:t>
            </w:r>
          </w:p>
        </w:tc>
        <w:tc>
          <w:tcPr>
            <w:tcW w:w="1014"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异议投诉处理环节</w:t>
            </w:r>
          </w:p>
        </w:tc>
        <w:tc>
          <w:tcPr>
            <w:tcW w:w="1497" w:type="dxa"/>
            <w:vMerge w:val="restart"/>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招标代理项目组人员</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89.处理异议或者协助投诉处理的招标代理项目组人员与招标代理委托合同中注明的人员不一致</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90.项目负责人没有按要求参与异议处理或者协助投诉处理</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处理异议</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91.因招标代理机构原因对潜在投标人、投标人或者其他利害关系人依法递交的书面异议予以拒收</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92.因招标代理机构原因未依法对符合条件的异议作出回复</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restart"/>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协助投诉处理</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93.对行政监督部门处理投诉中查阅、复制有关文件、资料，调查有关情况的行为不积极配合</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94.未按要求及时提供资料及情况</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rPr>
            </w:pPr>
            <w:r>
              <w:rPr>
                <w:rFonts w:ascii="宋体" w:hAnsi="宋体" w:cs="宋体"/>
                <w:kern w:val="0"/>
                <w:sz w:val="22"/>
                <w:lang w:val="en" w:bidi="ar"/>
              </w:rPr>
              <w:t>《不规范行为具体情形》</w:t>
            </w:r>
            <w:r>
              <w:rPr>
                <w:rFonts w:hint="eastAsia" w:ascii="宋体" w:hAnsi="宋体" w:cs="宋体"/>
                <w:kern w:val="0"/>
                <w:sz w:val="22"/>
                <w:lang w:bidi="ar"/>
              </w:rPr>
              <w:t>BG.21.2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其他</w:t>
            </w:r>
          </w:p>
        </w:tc>
        <w:tc>
          <w:tcPr>
            <w:tcW w:w="1497"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其他违规行为</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95.存在违法违规情形，但因情节轻微，不予认定严重失信行为记录、不予行政处罚或不予认定不良行为记录的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招标代理项目组人员</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96.非本项目成员办理招标代理业务的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0.5分</w:t>
            </w:r>
          </w:p>
        </w:tc>
        <w:tc>
          <w:tcPr>
            <w:tcW w:w="2503" w:type="dxa"/>
            <w:shd w:val="clear" w:color="auto" w:fill="auto"/>
            <w:vAlign w:val="center"/>
          </w:tcPr>
          <w:p>
            <w:pPr>
              <w:widowControl/>
              <w:jc w:val="center"/>
              <w:textAlignment w:val="center"/>
              <w:rPr>
                <w:rFonts w:ascii="宋体" w:hAnsi="宋体" w:cs="宋体"/>
                <w:sz w:val="22"/>
                <w:lang w:val="en"/>
              </w:rPr>
            </w:pPr>
            <w:r>
              <w:rPr>
                <w:rFonts w:ascii="宋体" w:hAnsi="宋体" w:cs="宋体"/>
                <w:kern w:val="0"/>
                <w:sz w:val="22"/>
                <w:lang w:val="en" w:bidi="ar"/>
              </w:rPr>
              <w:t>《不规范行为具体情形》</w:t>
            </w:r>
            <w:r>
              <w:rPr>
                <w:rFonts w:hint="eastAsia" w:ascii="宋体" w:hAnsi="宋体" w:cs="宋体"/>
                <w:kern w:val="0"/>
                <w:sz w:val="22"/>
                <w:lang w:bidi="ar"/>
              </w:rPr>
              <w:t>BG.23.1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restart"/>
            <w:shd w:val="clear" w:color="auto" w:fill="auto"/>
            <w:vAlign w:val="center"/>
          </w:tcPr>
          <w:p>
            <w:pPr>
              <w:jc w:val="center"/>
              <w:rPr>
                <w:rFonts w:ascii="宋体" w:hAnsi="宋体" w:cs="宋体"/>
                <w:sz w:val="22"/>
              </w:rPr>
            </w:pPr>
            <w:r>
              <w:rPr>
                <w:rFonts w:hint="eastAsia" w:ascii="宋体" w:hAnsi="宋体" w:cs="宋体"/>
                <w:kern w:val="0"/>
                <w:sz w:val="22"/>
                <w:lang w:bidi="ar"/>
              </w:rPr>
              <w:t>其他</w:t>
            </w:r>
          </w:p>
        </w:tc>
        <w:tc>
          <w:tcPr>
            <w:tcW w:w="1497" w:type="dxa"/>
            <w:vMerge w:val="restart"/>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其他现场行为</w:t>
            </w: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97.在所代理的招标项目中，向该项目投标人提供帮助制作投标文件，或与相关市场主体有串通行为的（经行政监督部门处理的，不重复扣分）</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98.故意损坏交易中心场所设施、设备的；或以技术手段攻击电子交易系统的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kern w:val="0"/>
                <w:sz w:val="22"/>
                <w:lang w:bidi="ar"/>
              </w:rPr>
            </w:pPr>
            <w:r>
              <w:rPr>
                <w:rFonts w:hint="eastAsia" w:ascii="宋体" w:hAnsi="宋体" w:cs="宋体"/>
                <w:kern w:val="0"/>
                <w:sz w:val="22"/>
                <w:lang w:bidi="ar"/>
              </w:rPr>
              <w:t>99.招标文件、资格预审文件等被交易中心大数据分析系统提示“量体裁衣”、“设置倾向性条款”等风险预警，报经相关行政监督部门确认的（经行政监督部门处理的，不重复扣分）</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100.以任何方式贿赂交易中心相关工作人员（含技术支持、服务人员等），谋取相关违规操作便利或其他利益的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101.在交易现场无理取闹，威胁、恐吓招标人、投标人、监管人员、交易中心等相关工作人员的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102.在代理项目过程中未尽到保密义务，泄露国家秘密、商业秘密及其他应该保密信息的（经行政监督部门处理的，不重复扣分）</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103.不协助、不支持配合交易中心处置现场突发情况的；如所代理项目在评审期间专家突发疾病紧急送医，现场处置火情、疫情等</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61" w:type="dxa"/>
            <w:vMerge w:val="continue"/>
            <w:shd w:val="clear" w:color="auto" w:fill="auto"/>
            <w:vAlign w:val="center"/>
          </w:tcPr>
          <w:p>
            <w:pPr>
              <w:jc w:val="center"/>
              <w:rPr>
                <w:rFonts w:ascii="宋体" w:hAnsi="宋体" w:cs="宋体"/>
                <w:sz w:val="22"/>
              </w:rPr>
            </w:pPr>
          </w:p>
        </w:tc>
        <w:tc>
          <w:tcPr>
            <w:tcW w:w="1497" w:type="dxa"/>
            <w:vMerge w:val="continue"/>
            <w:shd w:val="clear" w:color="auto" w:fill="auto"/>
            <w:vAlign w:val="center"/>
          </w:tcPr>
          <w:p>
            <w:pPr>
              <w:jc w:val="center"/>
              <w:rPr>
                <w:rFonts w:ascii="宋体" w:hAnsi="宋体" w:cs="宋体"/>
                <w:sz w:val="22"/>
              </w:rPr>
            </w:pPr>
          </w:p>
        </w:tc>
        <w:tc>
          <w:tcPr>
            <w:tcW w:w="7935" w:type="dxa"/>
            <w:shd w:val="clear" w:color="auto" w:fill="auto"/>
            <w:vAlign w:val="center"/>
          </w:tcPr>
          <w:p>
            <w:pPr>
              <w:widowControl/>
              <w:textAlignment w:val="center"/>
              <w:rPr>
                <w:rFonts w:ascii="宋体" w:hAnsi="宋体" w:cs="宋体"/>
                <w:sz w:val="22"/>
              </w:rPr>
            </w:pPr>
            <w:r>
              <w:rPr>
                <w:rFonts w:hint="eastAsia" w:ascii="宋体" w:hAnsi="宋体" w:cs="宋体"/>
                <w:kern w:val="0"/>
                <w:sz w:val="22"/>
                <w:lang w:bidi="ar"/>
              </w:rPr>
              <w:t>104.其他不按照全省公共资源交易“六统一”相关业务导则和交易中心相关现场管理程序和标准操作业务的</w:t>
            </w:r>
          </w:p>
        </w:tc>
        <w:tc>
          <w:tcPr>
            <w:tcW w:w="1014" w:type="dxa"/>
            <w:shd w:val="clear" w:color="auto" w:fill="auto"/>
            <w:noWrap/>
            <w:vAlign w:val="center"/>
          </w:tcPr>
          <w:p>
            <w:pPr>
              <w:widowControl/>
              <w:jc w:val="center"/>
              <w:textAlignment w:val="center"/>
              <w:rPr>
                <w:rFonts w:ascii="宋体" w:hAnsi="宋体" w:cs="宋体"/>
                <w:sz w:val="22"/>
              </w:rPr>
            </w:pPr>
            <w:r>
              <w:rPr>
                <w:rFonts w:hint="eastAsia" w:ascii="宋体" w:hAnsi="宋体" w:cs="宋体"/>
                <w:kern w:val="0"/>
                <w:sz w:val="22"/>
                <w:lang w:bidi="ar"/>
              </w:rPr>
              <w:t>0.2分</w:t>
            </w:r>
          </w:p>
        </w:tc>
        <w:tc>
          <w:tcPr>
            <w:tcW w:w="2503" w:type="dxa"/>
            <w:shd w:val="clear" w:color="auto" w:fill="auto"/>
            <w:vAlign w:val="center"/>
          </w:tcPr>
          <w:p>
            <w:pPr>
              <w:widowControl/>
              <w:jc w:val="center"/>
              <w:textAlignment w:val="center"/>
              <w:rPr>
                <w:rFonts w:ascii="宋体" w:hAnsi="宋体" w:cs="宋体"/>
                <w:sz w:val="22"/>
              </w:rPr>
            </w:pPr>
            <w:r>
              <w:rPr>
                <w:rFonts w:hint="eastAsia" w:ascii="宋体" w:hAnsi="宋体" w:cs="宋体"/>
                <w:kern w:val="0"/>
                <w:sz w:val="22"/>
                <w:lang w:bidi="ar"/>
              </w:rPr>
              <w:t>交易现场管理规定</w:t>
            </w:r>
          </w:p>
        </w:tc>
      </w:tr>
    </w:tbl>
    <w:p>
      <w:pPr>
        <w:widowControl/>
        <w:autoSpaceDE w:val="0"/>
        <w:autoSpaceDN w:val="0"/>
        <w:spacing w:before="62" w:beforeLines="20" w:line="440" w:lineRule="exact"/>
        <w:rPr>
          <w:rFonts w:hAnsi="宋体" w:cs="宋体"/>
          <w:b/>
          <w:bCs/>
          <w:kern w:val="0"/>
          <w:sz w:val="24"/>
          <w:szCs w:val="24"/>
          <w:lang w:bidi="ar"/>
        </w:rPr>
      </w:pPr>
      <w:r>
        <w:rPr>
          <w:rFonts w:hint="eastAsia" w:hAnsi="宋体" w:cs="宋体"/>
          <w:b/>
          <w:bCs/>
          <w:kern w:val="0"/>
          <w:sz w:val="24"/>
          <w:szCs w:val="24"/>
          <w:lang w:bidi="ar"/>
        </w:rPr>
        <w:t>说明：</w:t>
      </w:r>
      <w:r>
        <w:rPr>
          <w:rFonts w:hint="eastAsia" w:hAnsi="宋体" w:cs="宋体"/>
          <w:kern w:val="0"/>
          <w:sz w:val="24"/>
          <w:szCs w:val="24"/>
          <w:lang w:bidi="ar"/>
        </w:rPr>
        <w:t>《不规范行为具体情形》为《湖南省招标代理机构及从业人员监督管理办法》（湘发改法规规</w:t>
      </w:r>
      <w:r>
        <w:rPr>
          <w:rFonts w:hint="eastAsia" w:ascii="宋体" w:hAnsi="宋体" w:cs="宋体"/>
          <w:bCs/>
          <w:kern w:val="0"/>
          <w:sz w:val="24"/>
          <w:szCs w:val="24"/>
          <w:lang w:val="en" w:bidi="ar"/>
        </w:rPr>
        <w:t>〔2023〕</w:t>
      </w:r>
      <w:r>
        <w:rPr>
          <w:rFonts w:hint="eastAsia" w:ascii="宋体" w:hAnsi="宋体" w:cs="宋体"/>
          <w:bCs/>
          <w:kern w:val="0"/>
          <w:sz w:val="24"/>
          <w:szCs w:val="24"/>
          <w:lang w:bidi="ar"/>
        </w:rPr>
        <w:t>99号）附件2</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TExNmUyZTUwMmUxN2E2MWQ3ODZlNWU5MmY5MjkifQ=="/>
  </w:docVars>
  <w:rsids>
    <w:rsidRoot w:val="725E0246"/>
    <w:rsid w:val="630D4511"/>
    <w:rsid w:val="725E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2024-09-12T08:09:00Z</dcterms:created>
  <dc:creator>水煮鱼</dc:creator>
  <cp:lastModifiedBy>水煮鱼</cp:lastModifiedBy>
  <dcterms:modified xsi:type="dcterms:W3CDTF">2024-09-12T08:12:13Z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2064F19818F04EE98BAA1630331FFC5A_11</vt:lpwstr>
  </property>
</Properties>
</file>