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20" w:name="_GoBack"/>
      <w:bookmarkEnd w:id="20"/>
    </w:p>
    <w:p/>
    <w:p/>
    <w:p/>
    <w:p>
      <w:r>
        <w:drawing>
          <wp:inline distT="0" distB="0" distL="114300" distR="114300">
            <wp:extent cx="5271135" cy="1755140"/>
            <wp:effectExtent l="0" t="0" r="5715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  <w:outlineLvl w:val="0"/>
        <w:rPr>
          <w:rFonts w:hint="eastAsia" w:eastAsiaTheme="minorEastAsia"/>
          <w:sz w:val="44"/>
          <w:szCs w:val="44"/>
          <w:lang w:eastAsia="zh-CN"/>
        </w:rPr>
      </w:pPr>
      <w:bookmarkStart w:id="0" w:name="_Toc26234"/>
      <w:bookmarkStart w:id="1" w:name="_Toc30998"/>
      <w:bookmarkStart w:id="2" w:name="_Toc2891"/>
      <w:r>
        <w:rPr>
          <w:rFonts w:hint="eastAsia"/>
          <w:sz w:val="44"/>
          <w:szCs w:val="44"/>
          <w:lang w:val="en-US" w:eastAsia="zh-CN"/>
        </w:rPr>
        <w:t>矿业权</w:t>
      </w:r>
      <w:r>
        <w:rPr>
          <w:rFonts w:hint="eastAsia"/>
          <w:sz w:val="44"/>
          <w:szCs w:val="44"/>
        </w:rPr>
        <w:t>交易</w:t>
      </w:r>
      <w:bookmarkEnd w:id="0"/>
      <w:bookmarkEnd w:id="1"/>
      <w:bookmarkEnd w:id="2"/>
      <w:r>
        <w:rPr>
          <w:rFonts w:hint="eastAsia"/>
          <w:sz w:val="44"/>
          <w:szCs w:val="44"/>
          <w:lang w:eastAsia="zh-CN"/>
        </w:rPr>
        <w:t>服务指南</w:t>
      </w: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（</w:t>
      </w:r>
      <w:r>
        <w:rPr>
          <w:rFonts w:hint="eastAsia"/>
          <w:sz w:val="44"/>
          <w:szCs w:val="44"/>
          <w:lang w:val="en-US" w:eastAsia="zh-CN"/>
        </w:rPr>
        <w:t>出让人</w:t>
      </w:r>
      <w:r>
        <w:rPr>
          <w:rFonts w:hint="eastAsia"/>
          <w:sz w:val="44"/>
          <w:szCs w:val="44"/>
        </w:rPr>
        <w:t>）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202</w:t>
      </w:r>
      <w:r>
        <w:rPr>
          <w:rFonts w:ascii="宋体" w:hAnsi="宋体" w:eastAsia="宋体"/>
          <w:sz w:val="32"/>
          <w:szCs w:val="32"/>
        </w:rPr>
        <w:t>3</w:t>
      </w:r>
      <w:r>
        <w:rPr>
          <w:rFonts w:hint="eastAsia" w:ascii="宋体" w:hAnsi="宋体" w:eastAsia="宋体"/>
          <w:sz w:val="32"/>
          <w:szCs w:val="32"/>
        </w:rPr>
        <w:t>年0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/>
          <w:sz w:val="32"/>
          <w:szCs w:val="32"/>
        </w:rPr>
        <w:t>月</w:t>
      </w:r>
    </w:p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720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993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_Toc26234 </w:instrText>
          </w:r>
          <w:r>
            <w:fldChar w:fldCharType="separate"/>
          </w:r>
          <w:r>
            <w:rPr>
              <w:rFonts w:hint="eastAsia"/>
              <w:szCs w:val="44"/>
              <w:lang w:val="en-US" w:eastAsia="zh-CN"/>
            </w:rPr>
            <w:t>矿业权</w:t>
          </w:r>
          <w:r>
            <w:rPr>
              <w:rFonts w:hint="eastAsia"/>
              <w:szCs w:val="44"/>
            </w:rPr>
            <w:t>交易</w:t>
          </w:r>
          <w:r>
            <w:rPr>
              <w:rFonts w:hint="eastAsia"/>
              <w:szCs w:val="44"/>
              <w:lang w:eastAsia="zh-CN"/>
            </w:rPr>
            <w:t>服务指南</w:t>
          </w:r>
          <w:r>
            <w:tab/>
          </w:r>
          <w:r>
            <w:fldChar w:fldCharType="begin"/>
          </w:r>
          <w:r>
            <w:instrText xml:space="preserve"> PAGEREF _Toc26234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_Toc4470 </w:instrText>
          </w:r>
          <w:r>
            <w:fldChar w:fldCharType="separate"/>
          </w:r>
          <w:r>
            <w:rPr>
              <w:rFonts w:hint="eastAsia"/>
              <w:bCs/>
              <w:szCs w:val="44"/>
            </w:rPr>
            <w:t>矿业权交易</w:t>
          </w:r>
          <w:r>
            <w:rPr>
              <w:rFonts w:hint="eastAsia"/>
              <w:bCs/>
              <w:szCs w:val="44"/>
              <w:lang w:eastAsia="zh-CN"/>
            </w:rPr>
            <w:t>服务指南</w:t>
          </w:r>
          <w:r>
            <w:rPr>
              <w:rFonts w:hint="eastAsia"/>
              <w:bCs/>
              <w:szCs w:val="44"/>
            </w:rPr>
            <w:t>（出让人）</w:t>
          </w:r>
          <w:r>
            <w:tab/>
          </w:r>
          <w:r>
            <w:fldChar w:fldCharType="begin"/>
          </w:r>
          <w:r>
            <w:instrText xml:space="preserve"> PAGEREF _Toc4470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_Toc13849 </w:instrText>
          </w:r>
          <w:r>
            <w:fldChar w:fldCharType="separate"/>
          </w:r>
          <w:r>
            <w:rPr>
              <w:rFonts w:hint="eastAsia"/>
              <w:bCs/>
              <w:lang w:val="en-US"/>
            </w:rPr>
            <w:t xml:space="preserve">一、 </w:t>
          </w:r>
          <w:r>
            <w:rPr>
              <w:rFonts w:hint="eastAsia"/>
              <w:bCs/>
              <w:lang w:val="en-US" w:eastAsia="zh-CN"/>
            </w:rPr>
            <w:t>使用准备</w:t>
          </w:r>
          <w:r>
            <w:tab/>
          </w:r>
          <w:r>
            <w:fldChar w:fldCharType="begin"/>
          </w:r>
          <w:r>
            <w:instrText xml:space="preserve"> PAGEREF _Toc13849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_Toc22817 </w:instrText>
          </w:r>
          <w:r>
            <w:fldChar w:fldCharType="separate"/>
          </w:r>
          <w:r>
            <w:rPr>
              <w:rFonts w:hint="eastAsia"/>
              <w:bCs/>
              <w:lang w:val="en-US" w:eastAsia="zh-CN"/>
            </w:rPr>
            <w:t>二、 系统登录</w:t>
          </w:r>
          <w:r>
            <w:tab/>
          </w:r>
          <w:r>
            <w:fldChar w:fldCharType="begin"/>
          </w:r>
          <w:r>
            <w:instrText xml:space="preserve"> PAGEREF _Toc22817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_Toc30754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三、 </w:t>
          </w:r>
          <w:r>
            <w:rPr>
              <w:rFonts w:hint="eastAsia"/>
              <w:lang w:eastAsia="zh-CN"/>
            </w:rPr>
            <w:t>矿业权</w:t>
          </w:r>
          <w:r>
            <w:rPr>
              <w:rFonts w:hint="eastAsia"/>
            </w:rPr>
            <w:t>交易</w:t>
          </w:r>
          <w:r>
            <w:rPr>
              <w:rFonts w:hint="eastAsia"/>
              <w:lang w:val="en-US" w:eastAsia="zh-CN"/>
            </w:rPr>
            <w:t>操作</w:t>
          </w:r>
          <w:r>
            <w:tab/>
          </w:r>
          <w:r>
            <w:fldChar w:fldCharType="begin"/>
          </w:r>
          <w:r>
            <w:instrText xml:space="preserve"> PAGEREF _Toc30754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_Toc4608 </w:instrText>
          </w:r>
          <w: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</w:rPr>
            <w:t xml:space="preserve">3.1、 </w:t>
          </w:r>
          <w:r>
            <w:rPr>
              <w:rFonts w:hint="eastAsia"/>
            </w:rPr>
            <w:t>项目入场登记</w:t>
          </w:r>
          <w:r>
            <w:tab/>
          </w:r>
          <w:r>
            <w:fldChar w:fldCharType="begin"/>
          </w:r>
          <w:r>
            <w:instrText xml:space="preserve"> PAGEREF _Toc4608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_Toc29232 </w:instrText>
          </w:r>
          <w: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</w:rPr>
            <w:t xml:space="preserve">3.2、 </w:t>
          </w:r>
          <w:r>
            <w:rPr>
              <w:rFonts w:hint="eastAsia"/>
            </w:rPr>
            <w:t>上传缴费凭证</w:t>
          </w:r>
          <w:r>
            <w:tab/>
          </w:r>
          <w:r>
            <w:fldChar w:fldCharType="begin"/>
          </w:r>
          <w:r>
            <w:instrText xml:space="preserve"> PAGEREF _Toc29232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_Toc20722 </w:instrText>
          </w:r>
          <w:r>
            <w:fldChar w:fldCharType="separate"/>
          </w:r>
          <w:r>
            <w:rPr>
              <w:rFonts w:hint="default" w:ascii="Times New Roman" w:hAnsi="Times New Roman" w:cs="Times New Roman"/>
              <w:bCs w:val="0"/>
              <w:i w:val="0"/>
              <w:iCs w:val="0"/>
              <w:caps w:val="0"/>
              <w:smallCaps w:val="0"/>
              <w:strike w:val="0"/>
              <w:dstrike w:val="0"/>
              <w:spacing w:val="0"/>
              <w:position w:val="0"/>
            </w:rPr>
            <w:t xml:space="preserve">3.3、 </w:t>
          </w:r>
          <w:r>
            <w:rPr>
              <w:rFonts w:hint="eastAsia"/>
              <w:lang w:val="en-US" w:eastAsia="zh-CN"/>
            </w:rPr>
            <w:t>查看</w:t>
          </w:r>
          <w:r>
            <w:rPr>
              <w:rFonts w:hint="eastAsia"/>
            </w:rPr>
            <w:t>成交确认书</w:t>
          </w:r>
          <w:r>
            <w:tab/>
          </w:r>
          <w:r>
            <w:fldChar w:fldCharType="begin"/>
          </w:r>
          <w:r>
            <w:instrText xml:space="preserve"> PAGEREF _Toc20722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br w:type="page"/>
      </w:r>
    </w:p>
    <w:p>
      <w:pPr>
        <w:jc w:val="center"/>
        <w:outlineLvl w:val="0"/>
        <w:rPr>
          <w:b/>
          <w:bCs/>
          <w:sz w:val="44"/>
          <w:szCs w:val="44"/>
        </w:rPr>
      </w:pPr>
      <w:bookmarkStart w:id="3" w:name="_Toc4470"/>
      <w:r>
        <w:rPr>
          <w:rFonts w:hint="eastAsia"/>
          <w:b/>
          <w:bCs/>
          <w:sz w:val="44"/>
          <w:szCs w:val="44"/>
        </w:rPr>
        <w:t>矿业权交易</w:t>
      </w:r>
      <w:r>
        <w:rPr>
          <w:rFonts w:hint="eastAsia"/>
          <w:b/>
          <w:bCs/>
          <w:sz w:val="44"/>
          <w:szCs w:val="44"/>
          <w:lang w:eastAsia="zh-CN"/>
        </w:rPr>
        <w:t>服务指南</w:t>
      </w:r>
      <w:r>
        <w:rPr>
          <w:rFonts w:hint="eastAsia"/>
          <w:b/>
          <w:bCs/>
          <w:sz w:val="44"/>
          <w:szCs w:val="44"/>
        </w:rPr>
        <w:t>（出让人）</w:t>
      </w:r>
      <w:bookmarkEnd w:id="3"/>
    </w:p>
    <w:p>
      <w:pPr>
        <w:pStyle w:val="2"/>
        <w:rPr>
          <w:rFonts w:hint="eastAsia"/>
          <w:b/>
          <w:bCs/>
        </w:rPr>
      </w:pPr>
      <w:bookmarkStart w:id="4" w:name="_Toc23604"/>
      <w:bookmarkStart w:id="5" w:name="_Toc3830"/>
      <w:bookmarkStart w:id="6" w:name="_Toc13849"/>
      <w:bookmarkStart w:id="7" w:name="_Toc3297"/>
      <w:bookmarkStart w:id="8" w:name="_Toc97"/>
      <w:r>
        <w:rPr>
          <w:rFonts w:hint="eastAsia"/>
          <w:b/>
          <w:bCs/>
          <w:lang w:val="en-US" w:eastAsia="zh-CN"/>
        </w:rPr>
        <w:t>使用准备</w:t>
      </w:r>
      <w:bookmarkEnd w:id="4"/>
      <w:bookmarkEnd w:id="5"/>
      <w:bookmarkEnd w:id="6"/>
      <w:bookmarkEnd w:id="7"/>
    </w:p>
    <w:p>
      <w:pPr>
        <w:bidi w:val="0"/>
        <w:spacing w:line="360" w:lineRule="auto"/>
      </w:pP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/>
        </w:rPr>
        <w:t xml:space="preserve">    详见《湖南省公共资源交易中心-电子交易系统使用准备服务指南》，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</w:rPr>
        <w:t>登录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</w:rPr>
        <w:t>湖南省公共资源交易中心网站（http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lang w:val="en-US" w:eastAsia="zh-CN"/>
        </w:rPr>
        <w:t>s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</w:rPr>
        <w:t>://ggzy.hunan.gov.cn/）-下载中心</w:t>
      </w:r>
      <w:r>
        <w:rPr>
          <w:rFonts w:hint="eastAsia" w:ascii="宋体" w:hAnsi="宋体" w:eastAsia="宋体" w:cs="宋体"/>
          <w:b w:val="0"/>
          <w:bCs w:val="0"/>
          <w:color w:val="000000"/>
          <w:kern w:val="2"/>
          <w:sz w:val="24"/>
          <w:szCs w:val="24"/>
          <w:u w:val="none"/>
          <w:lang w:eastAsia="zh-CN"/>
        </w:rPr>
        <w:t>”</w:t>
      </w:r>
      <w:bookmarkEnd w:id="8"/>
      <w:r>
        <w:rPr>
          <w:rStyle w:val="26"/>
          <w:rFonts w:hint="eastAsia" w:ascii="宋体" w:hAnsi="宋体" w:eastAsia="宋体" w:cs="宋体"/>
          <w:color w:val="000000"/>
          <w:kern w:val="0"/>
          <w:sz w:val="24"/>
          <w:szCs w:val="24"/>
          <w:u w:val="none"/>
          <w:lang w:val="en-US" w:eastAsia="zh-CN"/>
        </w:rPr>
        <w:t>获取。</w:t>
      </w:r>
    </w:p>
    <w:p>
      <w:pPr>
        <w:pStyle w:val="2"/>
        <w:rPr>
          <w:rFonts w:hint="eastAsia"/>
          <w:b/>
          <w:bCs/>
          <w:lang w:val="en-US" w:eastAsia="zh-CN"/>
        </w:rPr>
      </w:pPr>
      <w:bookmarkStart w:id="9" w:name="_Toc25282"/>
      <w:bookmarkStart w:id="10" w:name="_Toc27093"/>
      <w:bookmarkStart w:id="11" w:name="_Toc8733"/>
      <w:bookmarkStart w:id="12" w:name="_Toc22817"/>
      <w:bookmarkStart w:id="13" w:name="_Toc13583"/>
      <w:bookmarkStart w:id="14" w:name="_Toc15134"/>
      <w:bookmarkStart w:id="15" w:name="_Toc6725"/>
      <w:r>
        <w:rPr>
          <w:rFonts w:hint="eastAsia"/>
          <w:b/>
          <w:bCs/>
          <w:lang w:val="en-US" w:eastAsia="zh-CN"/>
        </w:rPr>
        <w:t>系统登录</w:t>
      </w:r>
      <w:bookmarkEnd w:id="9"/>
      <w:bookmarkEnd w:id="10"/>
      <w:bookmarkEnd w:id="11"/>
      <w:bookmarkEnd w:id="12"/>
      <w:bookmarkEnd w:id="13"/>
      <w:bookmarkEnd w:id="14"/>
      <w:bookmarkEnd w:id="15"/>
    </w:p>
    <w:p>
      <w:pPr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登录湖南省公共资源交易服务平台（http://www.hnsggzy.com/），点击“登录交易平台”。</w:t>
      </w:r>
    </w:p>
    <w:p>
      <w:pPr>
        <w:jc w:val="center"/>
        <w:rPr>
          <w:rFonts w:hint="eastAsia" w:ascii="宋体" w:hAnsi="宋体" w:eastAsia="宋体" w:cs="宋体"/>
          <w:color w:val="000000"/>
          <w:spacing w:val="4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pacing w:val="4"/>
          <w:sz w:val="24"/>
          <w:szCs w:val="24"/>
        </w:rPr>
        <w:drawing>
          <wp:inline distT="0" distB="0" distL="114300" distR="114300">
            <wp:extent cx="4654550" cy="2108200"/>
            <wp:effectExtent l="0" t="0" r="12700" b="635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21965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选择对应模块进入</w:t>
      </w:r>
    </w:p>
    <w:p>
      <w:pPr>
        <w:spacing w:line="360" w:lineRule="auto"/>
        <w:jc w:val="lef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drawing>
          <wp:inline distT="0" distB="0" distL="114300" distR="114300">
            <wp:extent cx="5268595" cy="2279650"/>
            <wp:effectExtent l="0" t="0" r="8255" b="635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2245" cy="2296795"/>
            <wp:effectExtent l="0" t="0" r="14605" b="825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打开登录页面http://222.240.80.75/tpbidder/memberLogin?type=6，支持账号密码、ca证书登录。</w:t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510280"/>
            <wp:effectExtent l="0" t="0" r="5715" b="13970"/>
            <wp:docPr id="26" name="图片 26" descr="ade76f9ec8a9beff4a39f4b8284d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de76f9ec8a9beff4a39f4b8284d9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6" w:name="_Toc30754"/>
      <w:r>
        <w:rPr>
          <w:rFonts w:hint="eastAsia"/>
          <w:lang w:eastAsia="zh-CN"/>
        </w:rPr>
        <w:t>矿业权</w:t>
      </w:r>
      <w:r>
        <w:rPr>
          <w:rFonts w:hint="eastAsia"/>
        </w:rPr>
        <w:t>交易</w:t>
      </w:r>
      <w:r>
        <w:rPr>
          <w:rFonts w:hint="eastAsia"/>
          <w:lang w:val="en-US" w:eastAsia="zh-CN"/>
        </w:rPr>
        <w:t>操作</w:t>
      </w:r>
      <w:bookmarkEnd w:id="16"/>
    </w:p>
    <w:p>
      <w:pPr>
        <w:pStyle w:val="3"/>
        <w:outlineLvl w:val="1"/>
      </w:pPr>
      <w:bookmarkStart w:id="17" w:name="_Toc4608"/>
      <w:r>
        <w:rPr>
          <w:rFonts w:hint="eastAsia"/>
        </w:rPr>
        <w:t>项目入场登记</w:t>
      </w:r>
      <w:bookmarkEnd w:id="17"/>
    </w:p>
    <w:p>
      <w:pPr>
        <w:pStyle w:val="5"/>
        <w:ind w:firstLine="360"/>
      </w:pPr>
      <w:r>
        <w:rPr>
          <w:rFonts w:hint="eastAsia"/>
          <w:lang w:val="en-US" w:eastAsia="zh-CN"/>
        </w:rPr>
        <w:t>出/转让人</w:t>
      </w:r>
      <w:r>
        <w:rPr>
          <w:rFonts w:hint="eastAsia"/>
        </w:rPr>
        <w:t>选择菜单：采矿权交易----项目入场登记，点击新建项目。</w:t>
      </w:r>
    </w:p>
    <w:p>
      <w:pPr>
        <w:pStyle w:val="5"/>
        <w:ind w:left="0" w:leftChars="0" w:firstLine="0" w:firstLineChars="0"/>
      </w:pPr>
      <w:r>
        <w:drawing>
          <wp:inline distT="0" distB="0" distL="0" distR="0">
            <wp:extent cx="5274310" cy="24307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rPr>
          <w:rFonts w:hint="eastAsia"/>
        </w:rPr>
        <w:t>完善信息，选择【电子件管理】上传相关电子件，点击“提交审核”</w:t>
      </w:r>
    </w:p>
    <w:p>
      <w:pPr>
        <w:pStyle w:val="5"/>
        <w:ind w:left="0" w:leftChars="0" w:firstLine="0" w:firstLineChars="0"/>
      </w:pPr>
      <w:r>
        <w:drawing>
          <wp:inline distT="0" distB="0" distL="114300" distR="114300">
            <wp:extent cx="5264785" cy="2253615"/>
            <wp:effectExtent l="0" t="0" r="5715" b="698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/>
        <w:rPr>
          <w:rFonts w:hint="eastAsia"/>
          <w:lang w:val="en-US" w:eastAsia="zh-CN"/>
        </w:rPr>
      </w:pPr>
      <w:r>
        <w:rPr>
          <w:rFonts w:hint="eastAsia"/>
          <w:shd w:val="clear" w:fill="FFC000"/>
          <w:lang w:val="en-US" w:eastAsia="zh-CN"/>
        </w:rPr>
        <w:t>温馨提示</w:t>
      </w:r>
      <w:r>
        <w:rPr>
          <w:rFonts w:hint="eastAsia"/>
          <w:lang w:val="en-US" w:eastAsia="zh-CN"/>
        </w:rPr>
        <w:t>：</w:t>
      </w:r>
    </w:p>
    <w:p>
      <w:pPr>
        <w:widowControl/>
        <w:snapToGrid w:val="0"/>
        <w:spacing w:line="200" w:lineRule="atLeast"/>
        <w:ind w:firstLine="0" w:firstLineChars="0"/>
        <w:textAlignment w:val="center"/>
        <w:rPr>
          <w:rFonts w:hint="eastAsia" w:ascii="仿宋" w:hAnsi="仿宋" w:eastAsia="仿宋" w:cs="仿宋"/>
          <w:bCs/>
          <w:color w:val="auto"/>
          <w:sz w:val="24"/>
          <w:szCs w:val="24"/>
          <w:lang w:val="en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  <w:t>1、委托人发起矿权出让流程，信息自动转发至省交易中心。</w:t>
      </w:r>
    </w:p>
    <w:p>
      <w:pPr>
        <w:widowControl/>
        <w:snapToGrid w:val="0"/>
        <w:spacing w:line="200" w:lineRule="atLeast"/>
        <w:ind w:firstLine="0" w:firstLineChars="0"/>
        <w:textAlignment w:val="center"/>
        <w:rPr>
          <w:rFonts w:hint="eastAsia" w:ascii="仿宋" w:hAnsi="仿宋" w:eastAsia="仿宋" w:cs="仿宋"/>
          <w:bCs/>
          <w:color w:val="auto"/>
          <w:sz w:val="24"/>
          <w:szCs w:val="24"/>
          <w:lang w:val="e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  <w:t>2、根据委托人提供的出让资料，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lang w:val="en"/>
        </w:rPr>
        <w:t>编辑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  <w:t>交易公告。</w:t>
      </w:r>
    </w:p>
    <w:p>
      <w:pPr>
        <w:pStyle w:val="5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lang w:val="en-US" w:eastAsia="zh-CN"/>
        </w:rPr>
        <w:t>3、委托人审核交易公告无误后，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lang w:val="en"/>
        </w:rPr>
        <w:t>湖南省公共资源交易服务平台自动发布交易公告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lang w:val="en" w:eastAsia="zh-CN"/>
        </w:rPr>
        <w:t>。</w:t>
      </w:r>
    </w:p>
    <w:p>
      <w:pPr>
        <w:pStyle w:val="3"/>
        <w:outlineLvl w:val="1"/>
      </w:pPr>
      <w:bookmarkStart w:id="18" w:name="_Toc29232"/>
      <w:r>
        <w:rPr>
          <w:rFonts w:hint="eastAsia"/>
        </w:rPr>
        <w:t>上传缴费凭证</w:t>
      </w:r>
      <w:bookmarkEnd w:id="18"/>
    </w:p>
    <w:p>
      <w:pPr>
        <w:pStyle w:val="5"/>
        <w:ind w:firstLine="360"/>
        <w:rPr>
          <w:rFonts w:hint="eastAsia"/>
        </w:rPr>
      </w:pPr>
      <w:r>
        <w:rPr>
          <w:rFonts w:hint="eastAsia"/>
          <w:lang w:val="en-US" w:eastAsia="zh-CN"/>
        </w:rPr>
        <w:t>转让人按时、足额支付交易服务费后，在线上传付款凭证</w:t>
      </w:r>
    </w:p>
    <w:p>
      <w:pPr>
        <w:pStyle w:val="5"/>
        <w:ind w:firstLine="360"/>
      </w:pPr>
      <w:r>
        <w:rPr>
          <w:rFonts w:hint="eastAsia"/>
        </w:rPr>
        <w:t>选择菜单-工作台，找到对应项目，点击【操作】按钮：</w:t>
      </w:r>
    </w:p>
    <w:p>
      <w:pPr>
        <w:pStyle w:val="5"/>
        <w:ind w:left="0" w:leftChars="0" w:firstLine="0" w:firstLineChars="0"/>
      </w:pPr>
      <w:r>
        <w:drawing>
          <wp:inline distT="0" distB="0" distL="0" distR="0">
            <wp:extent cx="5274310" cy="24199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rPr>
          <w:rFonts w:hint="eastAsia"/>
        </w:rPr>
        <w:t>选择菜单-缴费凭证，点击【上传交易服务费缴纳凭证】按钮：</w:t>
      </w:r>
    </w:p>
    <w:p>
      <w:pPr>
        <w:pStyle w:val="5"/>
        <w:ind w:left="0" w:leftChars="0" w:firstLine="0" w:firstLineChars="0"/>
      </w:pPr>
      <w:r>
        <w:drawing>
          <wp:inline distT="0" distB="0" distL="0" distR="0">
            <wp:extent cx="5274310" cy="2432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rPr>
          <w:rFonts w:hint="eastAsia"/>
        </w:rPr>
        <w:t>输入转让人付款金额及付款日期，选择电子件管理菜单，上传“转让人付款凭证”电子件，点击【承办人审核】按钮：</w:t>
      </w:r>
    </w:p>
    <w:p>
      <w:pPr>
        <w:pStyle w:val="5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74310" cy="24244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</w:p>
    <w:p>
      <w:pPr>
        <w:pStyle w:val="3"/>
        <w:outlineLvl w:val="1"/>
        <w:rPr>
          <w:rFonts w:hint="eastAsia"/>
        </w:rPr>
      </w:pPr>
      <w:bookmarkStart w:id="19" w:name="_Toc20722"/>
      <w:r>
        <w:rPr>
          <w:rFonts w:hint="eastAsia"/>
          <w:lang w:val="en-US" w:eastAsia="zh-CN"/>
        </w:rPr>
        <w:t>查看</w:t>
      </w:r>
      <w:r>
        <w:rPr>
          <w:rFonts w:hint="eastAsia"/>
        </w:rPr>
        <w:t>成交确认书</w:t>
      </w:r>
      <w:bookmarkEnd w:id="19"/>
    </w:p>
    <w:p>
      <w:pPr>
        <w:pStyle w:val="5"/>
        <w:ind w:firstLine="360"/>
      </w:pPr>
      <w:r>
        <w:rPr>
          <w:rFonts w:hint="eastAsia"/>
          <w:lang w:val="en-US" w:eastAsia="zh-CN"/>
        </w:rPr>
        <w:t>转让人</w:t>
      </w:r>
      <w:r>
        <w:rPr>
          <w:rFonts w:hint="eastAsia"/>
        </w:rPr>
        <w:t>选择菜单-工作台，找到对应项目，点击【操作】按钮：</w:t>
      </w:r>
    </w:p>
    <w:p>
      <w:pPr>
        <w:pStyle w:val="5"/>
        <w:ind w:left="0" w:leftChars="0" w:firstLine="0" w:firstLineChars="0"/>
      </w:pPr>
      <w:r>
        <w:drawing>
          <wp:inline distT="0" distB="0" distL="0" distR="0">
            <wp:extent cx="5274310" cy="24199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480" w:firstLineChars="200"/>
        <w:rPr>
          <w:rFonts w:hint="eastAsia"/>
        </w:rPr>
      </w:pPr>
      <w:r>
        <w:rPr>
          <w:rFonts w:hint="eastAsia"/>
        </w:rPr>
        <w:t>选择菜单-成交确认，点击【成交确认书】按钮：</w:t>
      </w:r>
    </w:p>
    <w:p>
      <w:pPr>
        <w:pStyle w:val="5"/>
        <w:ind w:left="0" w:leftChars="0" w:firstLine="0" w:firstLineChars="0"/>
      </w:pPr>
      <w:r>
        <w:drawing>
          <wp:inline distT="0" distB="0" distL="0" distR="0">
            <wp:extent cx="5274310" cy="24263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360"/>
      </w:pPr>
      <w:r>
        <w:rPr>
          <w:rFonts w:hint="eastAsia"/>
        </w:rPr>
        <w:t>点击【矿业权交易成交确认书】：</w:t>
      </w:r>
    </w:p>
    <w:p>
      <w:pPr>
        <w:pStyle w:val="5"/>
        <w:ind w:left="0" w:leftChars="0" w:firstLine="0" w:firstLineChars="0"/>
        <w:rPr>
          <w:rFonts w:hint="eastAsia"/>
        </w:rPr>
      </w:pPr>
      <w:r>
        <w:drawing>
          <wp:inline distT="0" distB="0" distL="0" distR="0">
            <wp:extent cx="5274310" cy="24168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ctionIcon ! importa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283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WVjYThiY2M0NTJiMzNjNzFlZWFlNzAzOWZmNTYxZjUifQ=="/>
  </w:docVars>
  <w:rsids>
    <w:rsidRoot w:val="00BA0993"/>
    <w:rsid w:val="001053E1"/>
    <w:rsid w:val="002637EC"/>
    <w:rsid w:val="002B08FE"/>
    <w:rsid w:val="002E02CD"/>
    <w:rsid w:val="00300D10"/>
    <w:rsid w:val="00352CC6"/>
    <w:rsid w:val="00493D5E"/>
    <w:rsid w:val="004C334D"/>
    <w:rsid w:val="00570D01"/>
    <w:rsid w:val="005A44E9"/>
    <w:rsid w:val="005E324C"/>
    <w:rsid w:val="00612582"/>
    <w:rsid w:val="006F2E40"/>
    <w:rsid w:val="00755B02"/>
    <w:rsid w:val="00771E91"/>
    <w:rsid w:val="00780120"/>
    <w:rsid w:val="009A1064"/>
    <w:rsid w:val="00AA1146"/>
    <w:rsid w:val="00B0109F"/>
    <w:rsid w:val="00BA0993"/>
    <w:rsid w:val="00D779B5"/>
    <w:rsid w:val="00DC727E"/>
    <w:rsid w:val="00EC0BC1"/>
    <w:rsid w:val="00F02342"/>
    <w:rsid w:val="00F07F20"/>
    <w:rsid w:val="00F95C07"/>
    <w:rsid w:val="01EB4CFA"/>
    <w:rsid w:val="02F00A18"/>
    <w:rsid w:val="04673D9F"/>
    <w:rsid w:val="04D42AAB"/>
    <w:rsid w:val="05A42949"/>
    <w:rsid w:val="05E54300"/>
    <w:rsid w:val="07C10826"/>
    <w:rsid w:val="097B0B7E"/>
    <w:rsid w:val="09CE4F7E"/>
    <w:rsid w:val="0A2A4ACD"/>
    <w:rsid w:val="0A61573C"/>
    <w:rsid w:val="0BC3400A"/>
    <w:rsid w:val="0E681A76"/>
    <w:rsid w:val="0F2A0D9B"/>
    <w:rsid w:val="0FA67061"/>
    <w:rsid w:val="12731B93"/>
    <w:rsid w:val="131848E7"/>
    <w:rsid w:val="133E12AC"/>
    <w:rsid w:val="150C7E6E"/>
    <w:rsid w:val="150F3DEE"/>
    <w:rsid w:val="15DC4F2E"/>
    <w:rsid w:val="15E07D34"/>
    <w:rsid w:val="15EC04AB"/>
    <w:rsid w:val="162A59B3"/>
    <w:rsid w:val="17393F01"/>
    <w:rsid w:val="179E7916"/>
    <w:rsid w:val="18333DE8"/>
    <w:rsid w:val="1AA17E76"/>
    <w:rsid w:val="1DCA6AD1"/>
    <w:rsid w:val="1DF37576"/>
    <w:rsid w:val="1E1F2543"/>
    <w:rsid w:val="1E8A4908"/>
    <w:rsid w:val="1F2160C4"/>
    <w:rsid w:val="1F4F4BD2"/>
    <w:rsid w:val="1F6249DA"/>
    <w:rsid w:val="20C413FA"/>
    <w:rsid w:val="22911B36"/>
    <w:rsid w:val="23053D5B"/>
    <w:rsid w:val="23C16AD3"/>
    <w:rsid w:val="24A170F1"/>
    <w:rsid w:val="24D52D2B"/>
    <w:rsid w:val="25077338"/>
    <w:rsid w:val="25287DC2"/>
    <w:rsid w:val="257C545B"/>
    <w:rsid w:val="259E4700"/>
    <w:rsid w:val="25FA0F65"/>
    <w:rsid w:val="26161BA2"/>
    <w:rsid w:val="26D91218"/>
    <w:rsid w:val="27C76F32"/>
    <w:rsid w:val="287A5E0A"/>
    <w:rsid w:val="28EC7EDD"/>
    <w:rsid w:val="29A206EB"/>
    <w:rsid w:val="29A3473A"/>
    <w:rsid w:val="2BE36C60"/>
    <w:rsid w:val="2C32033A"/>
    <w:rsid w:val="2D2D2B9A"/>
    <w:rsid w:val="2EFA0ABB"/>
    <w:rsid w:val="2F6C3721"/>
    <w:rsid w:val="3031608B"/>
    <w:rsid w:val="3134176A"/>
    <w:rsid w:val="315D3402"/>
    <w:rsid w:val="33F50B9C"/>
    <w:rsid w:val="34A53446"/>
    <w:rsid w:val="34AA2E47"/>
    <w:rsid w:val="350F73E8"/>
    <w:rsid w:val="352A2B85"/>
    <w:rsid w:val="37246325"/>
    <w:rsid w:val="384B1867"/>
    <w:rsid w:val="3AC45E72"/>
    <w:rsid w:val="3B8E3258"/>
    <w:rsid w:val="3CA7071D"/>
    <w:rsid w:val="3D2F3AC6"/>
    <w:rsid w:val="40402241"/>
    <w:rsid w:val="44C804A0"/>
    <w:rsid w:val="44D01E0B"/>
    <w:rsid w:val="45AC03F8"/>
    <w:rsid w:val="47535F40"/>
    <w:rsid w:val="4B057175"/>
    <w:rsid w:val="4B463C37"/>
    <w:rsid w:val="4B7414DB"/>
    <w:rsid w:val="4BDC6EFA"/>
    <w:rsid w:val="4D180D7E"/>
    <w:rsid w:val="50CC3BF1"/>
    <w:rsid w:val="517E51D4"/>
    <w:rsid w:val="531E0515"/>
    <w:rsid w:val="5380356D"/>
    <w:rsid w:val="551C3527"/>
    <w:rsid w:val="55721B0D"/>
    <w:rsid w:val="55896605"/>
    <w:rsid w:val="55C922F7"/>
    <w:rsid w:val="568C34FF"/>
    <w:rsid w:val="57ED7E5A"/>
    <w:rsid w:val="588D679B"/>
    <w:rsid w:val="58A87D16"/>
    <w:rsid w:val="58B44FC5"/>
    <w:rsid w:val="5B9D0A3F"/>
    <w:rsid w:val="5DD70C56"/>
    <w:rsid w:val="5E111E29"/>
    <w:rsid w:val="5EF7731D"/>
    <w:rsid w:val="601614EA"/>
    <w:rsid w:val="61AD3862"/>
    <w:rsid w:val="632B4938"/>
    <w:rsid w:val="646F64A9"/>
    <w:rsid w:val="64752769"/>
    <w:rsid w:val="670F364C"/>
    <w:rsid w:val="67194CE3"/>
    <w:rsid w:val="678F628F"/>
    <w:rsid w:val="67E647BE"/>
    <w:rsid w:val="686F0B55"/>
    <w:rsid w:val="689F5DD7"/>
    <w:rsid w:val="69427527"/>
    <w:rsid w:val="69871669"/>
    <w:rsid w:val="69D60E81"/>
    <w:rsid w:val="6A076735"/>
    <w:rsid w:val="6A3223D6"/>
    <w:rsid w:val="6A7071F1"/>
    <w:rsid w:val="6AD17F47"/>
    <w:rsid w:val="6AFC3B0D"/>
    <w:rsid w:val="6B3477C6"/>
    <w:rsid w:val="7016268B"/>
    <w:rsid w:val="72E621AC"/>
    <w:rsid w:val="72F145D4"/>
    <w:rsid w:val="74845C34"/>
    <w:rsid w:val="75901E34"/>
    <w:rsid w:val="77710C55"/>
    <w:rsid w:val="79050238"/>
    <w:rsid w:val="7A3A4932"/>
    <w:rsid w:val="7BA27DC6"/>
    <w:rsid w:val="7D88249D"/>
    <w:rsid w:val="7D8B38F2"/>
    <w:rsid w:val="7E0B727F"/>
    <w:rsid w:val="7E6515DB"/>
    <w:rsid w:val="7F88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qFormat="1" w:uiPriority="99" w:semiHidden="0" w:name="HTML Acronym"/>
    <w:lsdException w:uiPriority="99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qFormat="1" w:uiPriority="99" w:semiHidden="0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hAnsi="Times New Roman" w:eastAsia="宋体" w:cs="Times New Roman"/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35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3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outlineLvl w:val="2"/>
    </w:pPr>
    <w:rPr>
      <w:rFonts w:ascii="Times New Roman" w:hAnsi="Times New Roman" w:eastAsia="宋体" w:cs="Times New Roman"/>
      <w:b/>
      <w:bCs/>
      <w:sz w:val="28"/>
      <w:szCs w:val="18"/>
    </w:rPr>
  </w:style>
  <w:style w:type="paragraph" w:styleId="6">
    <w:name w:val="heading 4"/>
    <w:basedOn w:val="1"/>
    <w:next w:val="1"/>
    <w:link w:val="37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jc w:val="left"/>
      <w:outlineLvl w:val="3"/>
    </w:pPr>
    <w:rPr>
      <w:rFonts w:ascii="Times New Roman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38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/>
      <w:jc w:val="left"/>
      <w:outlineLvl w:val="4"/>
    </w:pPr>
    <w:rPr>
      <w:rFonts w:ascii="Times New Roman" w:hAnsi="Times New Roman" w:eastAsia="宋体" w:cs="Times New Roman"/>
      <w:b/>
      <w:bCs/>
      <w:sz w:val="28"/>
      <w:szCs w:val="28"/>
    </w:rPr>
  </w:style>
  <w:style w:type="paragraph" w:styleId="8">
    <w:name w:val="heading 6"/>
    <w:basedOn w:val="7"/>
    <w:next w:val="1"/>
    <w:link w:val="39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40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41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42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18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12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semiHidden/>
    <w:unhideWhenUsed/>
    <w:qFormat/>
    <w:uiPriority w:val="39"/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unhideWhenUsed/>
    <w:qFormat/>
    <w:uiPriority w:val="99"/>
    <w:rPr>
      <w:color w:val="800080"/>
      <w:u w:val="none"/>
    </w:rPr>
  </w:style>
  <w:style w:type="character" w:styleId="21">
    <w:name w:val="Emphasis"/>
    <w:basedOn w:val="18"/>
    <w:qFormat/>
    <w:uiPriority w:val="20"/>
    <w:rPr>
      <w:rFonts w:ascii="ActionIcon ! important" w:hAnsi="ActionIcon ! important" w:eastAsia="ActionIcon ! important" w:cs="ActionIcon ! important"/>
      <w:b/>
      <w:vanish/>
      <w:color w:val="3D4B62"/>
      <w:sz w:val="24"/>
      <w:szCs w:val="24"/>
    </w:rPr>
  </w:style>
  <w:style w:type="character" w:styleId="22">
    <w:name w:val="HTML Definition"/>
    <w:basedOn w:val="18"/>
    <w:unhideWhenUsed/>
    <w:qFormat/>
    <w:uiPriority w:val="99"/>
  </w:style>
  <w:style w:type="character" w:styleId="23">
    <w:name w:val="HTML Typewriter"/>
    <w:basedOn w:val="18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4">
    <w:name w:val="HTML Acronym"/>
    <w:basedOn w:val="18"/>
    <w:unhideWhenUsed/>
    <w:qFormat/>
    <w:uiPriority w:val="99"/>
  </w:style>
  <w:style w:type="character" w:styleId="25">
    <w:name w:val="HTML Variable"/>
    <w:basedOn w:val="18"/>
    <w:unhideWhenUsed/>
    <w:qFormat/>
    <w:uiPriority w:val="99"/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HTML Code"/>
    <w:basedOn w:val="18"/>
    <w:unhideWhenUsed/>
    <w:qFormat/>
    <w:uiPriority w:val="99"/>
    <w:rPr>
      <w:rFonts w:ascii="monospace" w:hAnsi="monospace" w:eastAsia="monospace" w:cs="monospace"/>
      <w:sz w:val="20"/>
    </w:rPr>
  </w:style>
  <w:style w:type="character" w:styleId="28">
    <w:name w:val="HTML Cite"/>
    <w:basedOn w:val="18"/>
    <w:unhideWhenUsed/>
    <w:qFormat/>
    <w:uiPriority w:val="99"/>
  </w:style>
  <w:style w:type="character" w:styleId="29">
    <w:name w:val="HTML Keyboard"/>
    <w:basedOn w:val="18"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30">
    <w:name w:val="HTML Sample"/>
    <w:basedOn w:val="18"/>
    <w:unhideWhenUsed/>
    <w:qFormat/>
    <w:uiPriority w:val="99"/>
    <w:rPr>
      <w:rFonts w:hint="default" w:ascii="monospace" w:hAnsi="monospace" w:eastAsia="monospace" w:cs="monospace"/>
    </w:rPr>
  </w:style>
  <w:style w:type="character" w:customStyle="1" w:styleId="31">
    <w:name w:val="页眉 Char"/>
    <w:basedOn w:val="18"/>
    <w:link w:val="14"/>
    <w:qFormat/>
    <w:uiPriority w:val="99"/>
    <w:rPr>
      <w:sz w:val="18"/>
      <w:szCs w:val="18"/>
    </w:rPr>
  </w:style>
  <w:style w:type="character" w:customStyle="1" w:styleId="32">
    <w:name w:val="页脚 Char"/>
    <w:basedOn w:val="18"/>
    <w:link w:val="13"/>
    <w:qFormat/>
    <w:uiPriority w:val="99"/>
    <w:rPr>
      <w:sz w:val="18"/>
      <w:szCs w:val="18"/>
    </w:rPr>
  </w:style>
  <w:style w:type="character" w:customStyle="1" w:styleId="33">
    <w:name w:val="批注框文本 Char"/>
    <w:basedOn w:val="18"/>
    <w:link w:val="12"/>
    <w:semiHidden/>
    <w:qFormat/>
    <w:uiPriority w:val="99"/>
    <w:rPr>
      <w:sz w:val="18"/>
      <w:szCs w:val="18"/>
    </w:rPr>
  </w:style>
  <w:style w:type="character" w:customStyle="1" w:styleId="34">
    <w:name w:val="标题 1 Char"/>
    <w:basedOn w:val="18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5">
    <w:name w:val="标题 2 Char"/>
    <w:basedOn w:val="18"/>
    <w:link w:val="3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36">
    <w:name w:val="标题 3 Char"/>
    <w:basedOn w:val="18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7">
    <w:name w:val="标题 4 Char"/>
    <w:basedOn w:val="18"/>
    <w:link w:val="6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38">
    <w:name w:val="标题 5 Char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39">
    <w:name w:val="标题 6 Char"/>
    <w:basedOn w:val="18"/>
    <w:link w:val="8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0">
    <w:name w:val="标题 7 Char"/>
    <w:basedOn w:val="18"/>
    <w:link w:val="9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1">
    <w:name w:val="标题 8 Char"/>
    <w:basedOn w:val="18"/>
    <w:link w:val="10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42">
    <w:name w:val="标题 9 Char"/>
    <w:basedOn w:val="18"/>
    <w:link w:val="11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paragraph" w:customStyle="1" w:styleId="43">
    <w:name w:val="1"/>
    <w:basedOn w:val="1"/>
    <w:link w:val="44"/>
    <w:qFormat/>
    <w:uiPriority w:val="0"/>
    <w:pPr>
      <w:spacing w:line="360" w:lineRule="auto"/>
      <w:jc w:val="left"/>
    </w:pPr>
    <w:rPr>
      <w:rFonts w:ascii="Times New Roman" w:hAnsi="Times New Roman" w:eastAsia="宋体" w:cs="Times New Roman"/>
      <w:szCs w:val="24"/>
    </w:rPr>
  </w:style>
  <w:style w:type="character" w:customStyle="1" w:styleId="44">
    <w:name w:val="1 Char"/>
    <w:link w:val="43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518</Words>
  <Characters>626</Characters>
  <Lines>17</Lines>
  <Paragraphs>4</Paragraphs>
  <TotalTime>0</TotalTime>
  <ScaleCrop>false</ScaleCrop>
  <LinksUpToDate>false</LinksUpToDate>
  <CharactersWithSpaces>660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2017-09-25T02:32:00Z</dcterms:created>
  <dc:creator>陈琼</dc:creator>
  <cp:lastModifiedBy>高阳</cp:lastModifiedBy>
  <cp:lastPrinted>2019-05-06T06:44:00Z</cp:lastPrinted>
  <dcterms:modified xsi:type="dcterms:W3CDTF">2023-02-20T02:55:08Z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C448C6386B5541FD9DC5D96F62C9168A</vt:lpwstr>
  </property>
</Properties>
</file>