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bookmarkStart w:id="0" w:name="_Toc521417677"/>
      <w:bookmarkStart w:id="25" w:name="_GoBack"/>
      <w:bookmarkEnd w:id="25"/>
      <w:r>
        <w:drawing>
          <wp:inline distT="0" distB="0" distL="114300" distR="114300">
            <wp:extent cx="5271135" cy="1755140"/>
            <wp:effectExtent l="0" t="0" r="5715" b="16510"/>
            <wp:docPr id="1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75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>
      <w:pPr>
        <w:jc w:val="center"/>
        <w:outlineLvl w:val="0"/>
        <w:rPr>
          <w:rFonts w:hint="eastAsia" w:eastAsiaTheme="minorEastAsia"/>
          <w:sz w:val="44"/>
          <w:szCs w:val="44"/>
          <w:lang w:val="en-US" w:eastAsia="zh-CN"/>
        </w:rPr>
      </w:pPr>
      <w:bookmarkStart w:id="1" w:name="_Toc30873"/>
      <w:r>
        <w:rPr>
          <w:rFonts w:hint="eastAsia"/>
          <w:sz w:val="44"/>
          <w:szCs w:val="44"/>
          <w:lang w:val="en-US" w:eastAsia="zh-CN"/>
        </w:rPr>
        <w:t>政府采购</w:t>
      </w:r>
      <w:r>
        <w:rPr>
          <w:rFonts w:hint="eastAsia"/>
          <w:sz w:val="44"/>
          <w:szCs w:val="44"/>
        </w:rPr>
        <w:t>网上开标</w:t>
      </w:r>
      <w:bookmarkEnd w:id="1"/>
      <w:r>
        <w:rPr>
          <w:rFonts w:hint="eastAsia"/>
          <w:sz w:val="44"/>
          <w:szCs w:val="44"/>
          <w:lang w:eastAsia="zh-CN"/>
        </w:rPr>
        <w:t>服务指南</w:t>
      </w:r>
    </w:p>
    <w:p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（投标人）</w:t>
      </w:r>
    </w:p>
    <w:p>
      <w:pPr>
        <w:jc w:val="center"/>
        <w:rPr>
          <w:sz w:val="44"/>
          <w:szCs w:val="44"/>
        </w:rPr>
      </w:pPr>
    </w:p>
    <w:p>
      <w:pPr>
        <w:jc w:val="center"/>
        <w:rPr>
          <w:sz w:val="44"/>
          <w:szCs w:val="44"/>
        </w:rPr>
      </w:pPr>
    </w:p>
    <w:p>
      <w:pPr>
        <w:jc w:val="center"/>
        <w:rPr>
          <w:sz w:val="44"/>
          <w:szCs w:val="44"/>
        </w:rPr>
      </w:pPr>
    </w:p>
    <w:p>
      <w:pPr>
        <w:jc w:val="center"/>
        <w:rPr>
          <w:sz w:val="44"/>
          <w:szCs w:val="44"/>
        </w:rPr>
      </w:pPr>
    </w:p>
    <w:p>
      <w:pPr>
        <w:jc w:val="center"/>
        <w:rPr>
          <w:sz w:val="44"/>
          <w:szCs w:val="44"/>
        </w:rPr>
      </w:pPr>
    </w:p>
    <w:p>
      <w:pPr>
        <w:jc w:val="center"/>
        <w:rPr>
          <w:sz w:val="44"/>
          <w:szCs w:val="44"/>
        </w:rPr>
      </w:pPr>
    </w:p>
    <w:p>
      <w:pPr>
        <w:jc w:val="center"/>
        <w:rPr>
          <w:sz w:val="44"/>
          <w:szCs w:val="44"/>
        </w:rPr>
      </w:pPr>
    </w:p>
    <w:p>
      <w:pPr>
        <w:jc w:val="center"/>
        <w:rPr>
          <w:sz w:val="44"/>
          <w:szCs w:val="44"/>
        </w:rPr>
      </w:pPr>
    </w:p>
    <w:p>
      <w:pPr>
        <w:jc w:val="center"/>
        <w:rPr>
          <w:rFonts w:asciiTheme="majorEastAsia" w:hAnsiTheme="majorEastAsia" w:eastAsiaTheme="majorEastAsia"/>
          <w:sz w:val="32"/>
          <w:szCs w:val="32"/>
        </w:rPr>
      </w:pPr>
      <w:r>
        <w:rPr>
          <w:rFonts w:hint="eastAsia" w:asciiTheme="majorEastAsia" w:hAnsiTheme="majorEastAsia" w:eastAsiaTheme="majorEastAsia"/>
          <w:sz w:val="32"/>
          <w:szCs w:val="32"/>
        </w:rPr>
        <w:t>202</w:t>
      </w:r>
      <w:r>
        <w:rPr>
          <w:rFonts w:hint="eastAsia" w:asciiTheme="majorEastAsia" w:hAnsiTheme="majorEastAsia" w:eastAsiaTheme="majorEastAsia"/>
          <w:sz w:val="32"/>
          <w:szCs w:val="32"/>
          <w:lang w:val="en-US" w:eastAsia="zh-CN"/>
        </w:rPr>
        <w:t>3</w:t>
      </w:r>
      <w:r>
        <w:rPr>
          <w:rFonts w:hint="eastAsia" w:asciiTheme="majorEastAsia" w:hAnsiTheme="majorEastAsia" w:eastAsiaTheme="majorEastAsia"/>
          <w:sz w:val="32"/>
          <w:szCs w:val="32"/>
        </w:rPr>
        <w:t>年</w:t>
      </w:r>
      <w:r>
        <w:rPr>
          <w:rFonts w:hint="eastAsia" w:asciiTheme="majorEastAsia" w:hAnsiTheme="majorEastAsia" w:eastAsiaTheme="majorEastAsia"/>
          <w:sz w:val="32"/>
          <w:szCs w:val="32"/>
          <w:lang w:val="en-US" w:eastAsia="zh-CN"/>
        </w:rPr>
        <w:t>2</w:t>
      </w:r>
      <w:r>
        <w:rPr>
          <w:rFonts w:hint="eastAsia" w:asciiTheme="majorEastAsia" w:hAnsiTheme="majorEastAsia" w:eastAsiaTheme="majorEastAsia"/>
          <w:sz w:val="32"/>
          <w:szCs w:val="32"/>
        </w:rPr>
        <w:t>月</w:t>
      </w:r>
    </w:p>
    <w:p>
      <w:pPr>
        <w:sectPr>
          <w:headerReference r:id="rId3" w:type="default"/>
          <w:footerReference r:id="rId4" w:type="default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sdt>
      <w:sdtPr>
        <w:rPr>
          <w:rFonts w:ascii="宋体" w:hAnsi="宋体" w:eastAsia="宋体" w:cstheme="minorBidi"/>
          <w:kern w:val="2"/>
          <w:sz w:val="21"/>
          <w:szCs w:val="22"/>
          <w:lang w:val="en-US" w:eastAsia="zh-CN" w:bidi="ar-SA"/>
        </w:rPr>
        <w:id w:val="147461413"/>
        <w15:color w:val="DBDBDB"/>
        <w:docPartObj>
          <w:docPartGallery w:val="Table of Contents"/>
          <w:docPartUnique/>
        </w:docPartObj>
      </w:sdtPr>
      <w:sdtEndPr>
        <w:rPr>
          <w:rFonts w:ascii="宋体" w:hAnsi="宋体" w:eastAsia="宋体" w:cstheme="minorBidi"/>
          <w:kern w:val="2"/>
          <w:sz w:val="21"/>
          <w:szCs w:val="22"/>
          <w:lang w:val="en-US" w:eastAsia="zh-CN" w:bidi="ar-SA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</w:pPr>
          <w:r>
            <w:rPr>
              <w:rFonts w:ascii="宋体" w:hAnsi="宋体" w:eastAsia="宋体"/>
              <w:sz w:val="21"/>
            </w:rPr>
            <w:t>目录</w:t>
          </w:r>
        </w:p>
        <w:p>
          <w:pPr>
            <w:pStyle w:val="8"/>
            <w:tabs>
              <w:tab w:val="right" w:leader="dot" w:pos="8306"/>
            </w:tabs>
          </w:pPr>
          <w:r>
            <w:fldChar w:fldCharType="begin"/>
          </w:r>
          <w:r>
            <w:instrText xml:space="preserve">TOC \o "1-3" \h \u </w:instrText>
          </w:r>
          <w:r>
            <w:fldChar w:fldCharType="separate"/>
          </w:r>
          <w:r>
            <w:fldChar w:fldCharType="begin"/>
          </w:r>
          <w:r>
            <w:instrText xml:space="preserve"> HYPERLINK \l _Toc30873 </w:instrText>
          </w:r>
          <w:r>
            <w:fldChar w:fldCharType="separate"/>
          </w:r>
          <w:r>
            <w:rPr>
              <w:rFonts w:hint="eastAsia"/>
              <w:szCs w:val="44"/>
              <w:lang w:val="en-US" w:eastAsia="zh-CN"/>
            </w:rPr>
            <w:t>政府采购</w:t>
          </w:r>
          <w:r>
            <w:rPr>
              <w:rFonts w:hint="eastAsia"/>
              <w:szCs w:val="44"/>
            </w:rPr>
            <w:t>网上开标</w:t>
          </w:r>
          <w:r>
            <w:rPr>
              <w:rFonts w:hint="eastAsia"/>
              <w:szCs w:val="44"/>
              <w:lang w:eastAsia="zh-CN"/>
            </w:rPr>
            <w:t>服务指南</w:t>
          </w:r>
          <w:r>
            <w:tab/>
          </w:r>
          <w:r>
            <w:fldChar w:fldCharType="begin"/>
          </w:r>
          <w:r>
            <w:instrText xml:space="preserve"> PAGEREF _Toc30873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_Toc3151 </w:instrText>
          </w:r>
          <w:r>
            <w:fldChar w:fldCharType="separate"/>
          </w:r>
          <w:r>
            <w:rPr>
              <w:rFonts w:hint="eastAsia"/>
              <w:szCs w:val="28"/>
            </w:rPr>
            <w:t xml:space="preserve">一、 </w:t>
          </w:r>
          <w:r>
            <w:rPr>
              <w:rFonts w:hint="eastAsia"/>
              <w:szCs w:val="28"/>
              <w:lang w:val="en-US" w:eastAsia="zh-CN"/>
            </w:rPr>
            <w:t>使用准备</w:t>
          </w:r>
          <w:r>
            <w:tab/>
          </w:r>
          <w:r>
            <w:fldChar w:fldCharType="begin"/>
          </w:r>
          <w:r>
            <w:instrText xml:space="preserve"> PAGEREF _Toc3151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_Toc27261 </w:instrText>
          </w:r>
          <w:r>
            <w:fldChar w:fldCharType="separate"/>
          </w:r>
          <w:r>
            <w:rPr>
              <w:rFonts w:hint="eastAsia" w:ascii="Times New Roman" w:hAnsi="Times New Roman" w:eastAsia="宋体" w:cs="Times New Roman"/>
              <w:bCs/>
              <w:kern w:val="44"/>
              <w:szCs w:val="28"/>
            </w:rPr>
            <w:t>二、 系统登录</w:t>
          </w:r>
          <w:r>
            <w:tab/>
          </w:r>
          <w:r>
            <w:fldChar w:fldCharType="begin"/>
          </w:r>
          <w:r>
            <w:instrText xml:space="preserve"> PAGEREF _Toc27261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_Toc25457 </w:instrText>
          </w:r>
          <w:r>
            <w:fldChar w:fldCharType="separate"/>
          </w:r>
          <w:r>
            <w:rPr>
              <w:rFonts w:hint="eastAsia" w:ascii="Times New Roman" w:hAnsi="Times New Roman" w:eastAsia="宋体" w:cs="Times New Roman"/>
              <w:bCs/>
              <w:kern w:val="44"/>
              <w:szCs w:val="28"/>
            </w:rPr>
            <w:t>三、 网上开标操作</w:t>
          </w:r>
          <w:r>
            <w:tab/>
          </w:r>
          <w:r>
            <w:fldChar w:fldCharType="begin"/>
          </w:r>
          <w:r>
            <w:instrText xml:space="preserve"> PAGEREF _Toc25457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_Toc24526 </w:instrText>
          </w:r>
          <w:r>
            <w:fldChar w:fldCharType="separate"/>
          </w:r>
          <w:r>
            <w:rPr>
              <w:rFonts w:hint="default" w:ascii="Times New Roman" w:hAnsi="Times New Roman" w:eastAsia="宋体" w:cs="Times New Roman"/>
              <w:bCs/>
              <w:szCs w:val="32"/>
            </w:rPr>
            <w:t xml:space="preserve">3.1 </w:t>
          </w:r>
          <w:r>
            <w:rPr>
              <w:rFonts w:hint="eastAsia" w:ascii="Times New Roman" w:hAnsi="Times New Roman" w:eastAsia="宋体" w:cs="Times New Roman"/>
              <w:bCs/>
              <w:szCs w:val="32"/>
            </w:rPr>
            <w:t>项目列表页面</w:t>
          </w:r>
          <w:r>
            <w:tab/>
          </w:r>
          <w:r>
            <w:fldChar w:fldCharType="begin"/>
          </w:r>
          <w:r>
            <w:instrText xml:space="preserve"> PAGEREF _Toc24526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_Toc4088 </w:instrText>
          </w:r>
          <w:r>
            <w:fldChar w:fldCharType="separate"/>
          </w:r>
          <w:r>
            <w:rPr>
              <w:rFonts w:hint="default" w:ascii="Times New Roman" w:hAnsi="Times New Roman" w:eastAsia="宋体" w:cs="Times New Roman"/>
              <w:bCs/>
              <w:szCs w:val="32"/>
            </w:rPr>
            <w:t xml:space="preserve">3.2 </w:t>
          </w:r>
          <w:r>
            <w:rPr>
              <w:rFonts w:hint="eastAsia" w:ascii="Times New Roman" w:hAnsi="Times New Roman" w:eastAsia="宋体" w:cs="Times New Roman"/>
              <w:bCs/>
              <w:szCs w:val="32"/>
            </w:rPr>
            <w:t>进入开标大厅</w:t>
          </w:r>
          <w:r>
            <w:tab/>
          </w:r>
          <w:r>
            <w:fldChar w:fldCharType="begin"/>
          </w:r>
          <w:r>
            <w:instrText xml:space="preserve"> PAGEREF _Toc4088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_Toc16101 </w:instrText>
          </w:r>
          <w:r>
            <w:fldChar w:fldCharType="separate"/>
          </w:r>
          <w:r>
            <w:rPr>
              <w:rFonts w:hint="default" w:ascii="Times New Roman" w:hAnsi="Times New Roman" w:eastAsia="宋体" w:cs="Times New Roman"/>
              <w:bCs/>
              <w:szCs w:val="32"/>
            </w:rPr>
            <w:t xml:space="preserve">3.3 </w:t>
          </w:r>
          <w:r>
            <w:rPr>
              <w:rFonts w:hint="eastAsia" w:ascii="Times New Roman" w:hAnsi="Times New Roman" w:eastAsia="宋体" w:cs="Times New Roman"/>
              <w:bCs/>
              <w:szCs w:val="32"/>
            </w:rPr>
            <w:t>等待开标</w:t>
          </w:r>
          <w:r>
            <w:tab/>
          </w:r>
          <w:r>
            <w:fldChar w:fldCharType="begin"/>
          </w:r>
          <w:r>
            <w:instrText xml:space="preserve"> PAGEREF _Toc16101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_Toc9809 </w:instrText>
          </w:r>
          <w:r>
            <w:fldChar w:fldCharType="separate"/>
          </w:r>
          <w:r>
            <w:rPr>
              <w:rFonts w:hint="default" w:ascii="Times New Roman" w:hAnsi="Times New Roman" w:eastAsia="宋体" w:cs="Times New Roman"/>
              <w:bCs/>
              <w:szCs w:val="32"/>
            </w:rPr>
            <w:t xml:space="preserve">3.4 </w:t>
          </w:r>
          <w:r>
            <w:rPr>
              <w:rFonts w:hint="eastAsia" w:ascii="Times New Roman" w:hAnsi="Times New Roman" w:eastAsia="宋体" w:cs="Times New Roman"/>
              <w:bCs/>
              <w:szCs w:val="32"/>
            </w:rPr>
            <w:t>查看投标人名单</w:t>
          </w:r>
          <w:r>
            <w:tab/>
          </w:r>
          <w:r>
            <w:fldChar w:fldCharType="begin"/>
          </w:r>
          <w:r>
            <w:instrText xml:space="preserve"> PAGEREF _Toc9809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_Toc15397 </w:instrText>
          </w:r>
          <w:r>
            <w:fldChar w:fldCharType="separate"/>
          </w:r>
          <w:r>
            <w:rPr>
              <w:rFonts w:hint="eastAsia" w:ascii="Times New Roman" w:hAnsi="Times New Roman" w:eastAsia="宋体" w:cs="Times New Roman"/>
              <w:bCs/>
              <w:szCs w:val="32"/>
            </w:rPr>
            <w:t>3.7投标人解密</w:t>
          </w:r>
          <w:r>
            <w:tab/>
          </w:r>
          <w:r>
            <w:fldChar w:fldCharType="begin"/>
          </w:r>
          <w:r>
            <w:instrText xml:space="preserve"> PAGEREF _Toc15397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_Toc23632 </w:instrText>
          </w:r>
          <w:r>
            <w:fldChar w:fldCharType="separate"/>
          </w:r>
          <w:r>
            <w:rPr>
              <w:rFonts w:hint="eastAsia" w:ascii="Times New Roman" w:hAnsi="Times New Roman" w:eastAsia="宋体" w:cs="Times New Roman"/>
              <w:bCs/>
              <w:szCs w:val="32"/>
            </w:rPr>
            <w:t>3.8唱标</w:t>
          </w:r>
          <w:r>
            <w:tab/>
          </w:r>
          <w:r>
            <w:fldChar w:fldCharType="begin"/>
          </w:r>
          <w:r>
            <w:instrText xml:space="preserve"> PAGEREF _Toc23632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_Toc17678 </w:instrText>
          </w:r>
          <w:r>
            <w:fldChar w:fldCharType="separate"/>
          </w:r>
          <w:r>
            <w:rPr>
              <w:rFonts w:hint="eastAsia" w:ascii="Times New Roman" w:hAnsi="Times New Roman" w:eastAsia="宋体" w:cs="Times New Roman"/>
              <w:bCs/>
              <w:szCs w:val="32"/>
            </w:rPr>
            <w:t>3.9语音异议</w:t>
          </w:r>
          <w:r>
            <w:tab/>
          </w:r>
          <w:r>
            <w:fldChar w:fldCharType="begin"/>
          </w:r>
          <w:r>
            <w:instrText xml:space="preserve"> PAGEREF _Toc17678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_Toc9350 </w:instrText>
          </w:r>
          <w:r>
            <w:fldChar w:fldCharType="separate"/>
          </w:r>
          <w:r>
            <w:rPr>
              <w:rFonts w:hint="eastAsia" w:ascii="Times New Roman" w:hAnsi="Times New Roman" w:eastAsia="宋体" w:cs="Times New Roman"/>
              <w:bCs/>
              <w:szCs w:val="32"/>
            </w:rPr>
            <w:t>3.10</w:t>
          </w:r>
          <w:r>
            <w:rPr>
              <w:rFonts w:ascii="Times New Roman" w:hAnsi="Times New Roman" w:eastAsia="宋体" w:cs="Times New Roman"/>
              <w:bCs/>
              <w:szCs w:val="32"/>
            </w:rPr>
            <w:t>唱标确认</w:t>
          </w:r>
          <w:r>
            <w:tab/>
          </w:r>
          <w:r>
            <w:fldChar w:fldCharType="begin"/>
          </w:r>
          <w:r>
            <w:instrText xml:space="preserve"> PAGEREF _Toc9350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_Toc6321 </w:instrText>
          </w:r>
          <w:r>
            <w:fldChar w:fldCharType="separate"/>
          </w:r>
          <w:r>
            <w:rPr>
              <w:rFonts w:hint="eastAsia" w:ascii="Times New Roman" w:hAnsi="Times New Roman" w:eastAsia="宋体" w:cs="Times New Roman"/>
              <w:bCs/>
              <w:szCs w:val="32"/>
            </w:rPr>
            <w:t>3.11开标结束</w:t>
          </w:r>
          <w:r>
            <w:tab/>
          </w:r>
          <w:r>
            <w:fldChar w:fldCharType="begin"/>
          </w:r>
          <w:r>
            <w:instrText xml:space="preserve"> PAGEREF _Toc6321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fldChar w:fldCharType="end"/>
          </w:r>
        </w:p>
        <w:p>
          <w:r>
            <w:fldChar w:fldCharType="end"/>
          </w:r>
        </w:p>
      </w:sdtContent>
    </w:sdt>
    <w:p>
      <w:r>
        <w:br w:type="page"/>
      </w:r>
    </w:p>
    <w:p>
      <w:pPr>
        <w:pStyle w:val="2"/>
        <w:jc w:val="center"/>
        <w:outlineLvl w:val="9"/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pStyle w:val="3"/>
        <w:numPr>
          <w:ilvl w:val="0"/>
          <w:numId w:val="1"/>
        </w:numPr>
        <w:ind w:left="0" w:leftChars="0" w:firstLine="400" w:firstLineChars="0"/>
        <w:outlineLvl w:val="0"/>
        <w:rPr>
          <w:rFonts w:hint="eastAsia"/>
          <w:sz w:val="28"/>
          <w:szCs w:val="28"/>
        </w:rPr>
      </w:pPr>
      <w:bookmarkStart w:id="2" w:name="_Toc3151"/>
      <w:bookmarkStart w:id="3" w:name="_Toc18341"/>
      <w:bookmarkStart w:id="4" w:name="_Toc17237"/>
      <w:r>
        <w:rPr>
          <w:rFonts w:hint="eastAsia"/>
          <w:sz w:val="28"/>
          <w:szCs w:val="28"/>
          <w:lang w:val="en-US" w:eastAsia="zh-CN"/>
        </w:rPr>
        <w:t>使用准备</w:t>
      </w:r>
      <w:bookmarkEnd w:id="2"/>
      <w:bookmarkEnd w:id="3"/>
      <w:bookmarkEnd w:id="4"/>
    </w:p>
    <w:p>
      <w:pPr>
        <w:bidi w:val="0"/>
        <w:ind w:firstLine="420" w:firstLineChars="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Theme="minorAscii" w:hAnsiTheme="minorAscii" w:eastAsiaTheme="minorEastAsia" w:cstheme="minorBidi"/>
          <w:b w:val="0"/>
          <w:bCs w:val="0"/>
          <w:color w:val="000000" w:themeColor="text1"/>
          <w:kern w:val="2"/>
          <w:sz w:val="24"/>
          <w:szCs w:val="22"/>
          <w:lang w:val="en-US" w:eastAsia="zh-CN"/>
          <w14:textFill>
            <w14:solidFill>
              <w14:schemeClr w14:val="tx1"/>
            </w14:solidFill>
          </w14:textFill>
        </w:rPr>
        <w:t>详见《湖南省公共资源交易中心-电子交易系统使用准备</w:t>
      </w:r>
      <w:r>
        <w:rPr>
          <w:rFonts w:hint="eastAsia" w:asciiTheme="minorAscii" w:hAnsiTheme="minorAscii" w:cstheme="minorBidi"/>
          <w:b w:val="0"/>
          <w:bCs w:val="0"/>
          <w:color w:val="000000" w:themeColor="text1"/>
          <w:kern w:val="2"/>
          <w:sz w:val="24"/>
          <w:szCs w:val="22"/>
          <w:lang w:val="en-US" w:eastAsia="zh-CN"/>
          <w14:textFill>
            <w14:solidFill>
              <w14:schemeClr w14:val="tx1"/>
            </w14:solidFill>
          </w14:textFill>
        </w:rPr>
        <w:t>服务指南</w:t>
      </w:r>
      <w:r>
        <w:rPr>
          <w:rFonts w:hint="eastAsia" w:asciiTheme="minorAscii" w:hAnsiTheme="minorAscii" w:eastAsiaTheme="minorEastAsia" w:cstheme="minorBidi"/>
          <w:b w:val="0"/>
          <w:bCs w:val="0"/>
          <w:color w:val="000000" w:themeColor="text1"/>
          <w:kern w:val="2"/>
          <w:sz w:val="24"/>
          <w:szCs w:val="22"/>
          <w:lang w:val="en-US" w:eastAsia="zh-CN"/>
          <w14:textFill>
            <w14:solidFill>
              <w14:schemeClr w14:val="tx1"/>
            </w14:solidFill>
          </w14:textFill>
        </w:rPr>
        <w:t>》，</w:t>
      </w:r>
      <w:r>
        <w:rPr>
          <w:rFonts w:hint="eastAsia" w:asciiTheme="minorAscii" w:hAnsiTheme="minorAscii" w:eastAsiaTheme="minorEastAsia" w:cstheme="minorBidi"/>
          <w:b w:val="0"/>
          <w:bCs w:val="0"/>
          <w:color w:val="000000" w:themeColor="text1"/>
          <w:kern w:val="2"/>
          <w:sz w:val="24"/>
          <w:szCs w:val="22"/>
          <w14:textFill>
            <w14:solidFill>
              <w14:schemeClr w14:val="tx1"/>
            </w14:solidFill>
          </w14:textFill>
        </w:rPr>
        <w:t>登录</w:t>
      </w:r>
      <w:r>
        <w:rPr>
          <w:rFonts w:hint="eastAsia" w:asciiTheme="minorAscii" w:hAnsiTheme="minorAscii" w:eastAsiaTheme="minorEastAsia" w:cstheme="minorBidi"/>
          <w:b w:val="0"/>
          <w:bCs w:val="0"/>
          <w:color w:val="000000" w:themeColor="text1"/>
          <w:kern w:val="2"/>
          <w:sz w:val="24"/>
          <w:szCs w:val="22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rFonts w:hint="eastAsia" w:asciiTheme="minorAscii" w:hAnsiTheme="minorAscii" w:eastAsiaTheme="minorEastAsia" w:cstheme="minorBidi"/>
          <w:b w:val="0"/>
          <w:bCs w:val="0"/>
          <w:color w:val="000000" w:themeColor="text1"/>
          <w:kern w:val="2"/>
          <w:sz w:val="24"/>
          <w:szCs w:val="22"/>
          <w14:textFill>
            <w14:solidFill>
              <w14:schemeClr w14:val="tx1"/>
            </w14:solidFill>
          </w14:textFill>
        </w:rPr>
        <w:t>湖南省公共资源交易中心网站（http</w:t>
      </w:r>
      <w:r>
        <w:rPr>
          <w:rFonts w:hint="eastAsia" w:asciiTheme="minorAscii" w:hAnsiTheme="minorAscii" w:eastAsiaTheme="minorEastAsia" w:cstheme="minorBidi"/>
          <w:b w:val="0"/>
          <w:bCs w:val="0"/>
          <w:color w:val="000000" w:themeColor="text1"/>
          <w:kern w:val="2"/>
          <w:sz w:val="24"/>
          <w:szCs w:val="22"/>
          <w:lang w:val="en-US" w:eastAsia="zh-CN"/>
          <w14:textFill>
            <w14:solidFill>
              <w14:schemeClr w14:val="tx1"/>
            </w14:solidFill>
          </w14:textFill>
        </w:rPr>
        <w:t>s</w:t>
      </w:r>
      <w:r>
        <w:rPr>
          <w:rFonts w:hint="eastAsia" w:asciiTheme="minorAscii" w:hAnsiTheme="minorAscii" w:eastAsiaTheme="minorEastAsia" w:cstheme="minorBidi"/>
          <w:b w:val="0"/>
          <w:bCs w:val="0"/>
          <w:color w:val="000000" w:themeColor="text1"/>
          <w:kern w:val="2"/>
          <w:sz w:val="24"/>
          <w:szCs w:val="22"/>
          <w14:textFill>
            <w14:solidFill>
              <w14:schemeClr w14:val="tx1"/>
            </w14:solidFill>
          </w14:textFill>
        </w:rPr>
        <w:t>://ggzy.hunan.gov.cn/）-下载中心</w:t>
      </w:r>
      <w:r>
        <w:rPr>
          <w:rFonts w:hint="eastAsia" w:asciiTheme="minorAscii" w:hAnsiTheme="minorAscii" w:eastAsiaTheme="minorEastAsia" w:cstheme="minorBidi"/>
          <w:b w:val="0"/>
          <w:bCs w:val="0"/>
          <w:color w:val="000000" w:themeColor="text1"/>
          <w:kern w:val="2"/>
          <w:sz w:val="24"/>
          <w:szCs w:val="22"/>
          <w:lang w:eastAsia="zh-CN"/>
          <w14:textFill>
            <w14:solidFill>
              <w14:schemeClr w14:val="tx1"/>
            </w14:solidFill>
          </w14:textFill>
        </w:rPr>
        <w:t>”</w:t>
      </w:r>
      <w:r>
        <w:rPr>
          <w:rStyle w:val="12"/>
          <w:rFonts w:hint="eastAsia" w:ascii="仿宋" w:hAnsi="仿宋" w:eastAsia="仿宋" w:cs="宋体"/>
          <w:color w:val="000000" w:themeColor="text1"/>
          <w:kern w:val="0"/>
          <w:szCs w:val="32"/>
          <w:lang w:val="en-US" w:eastAsia="zh-CN"/>
          <w14:textFill>
            <w14:solidFill>
              <w14:schemeClr w14:val="tx1"/>
            </w14:solidFill>
          </w14:textFill>
        </w:rPr>
        <w:t>获取。</w:t>
      </w:r>
    </w:p>
    <w:bookmarkEnd w:id="0"/>
    <w:p>
      <w:pPr>
        <w:pStyle w:val="3"/>
        <w:numPr>
          <w:ilvl w:val="0"/>
          <w:numId w:val="1"/>
        </w:numPr>
        <w:ind w:left="0" w:leftChars="0" w:firstLine="400" w:firstLineChars="0"/>
        <w:outlineLvl w:val="0"/>
        <w:rPr>
          <w:rFonts w:ascii="Times New Roman" w:hAnsi="Times New Roman" w:eastAsia="宋体" w:cs="Times New Roman"/>
          <w:b/>
          <w:bCs/>
          <w:kern w:val="44"/>
          <w:sz w:val="32"/>
          <w:szCs w:val="28"/>
        </w:rPr>
      </w:pPr>
      <w:bookmarkStart w:id="5" w:name="_Toc521417683"/>
      <w:bookmarkStart w:id="6" w:name="_Toc517442120"/>
      <w:bookmarkStart w:id="7" w:name="_Toc27261"/>
      <w:r>
        <w:rPr>
          <w:rFonts w:hint="eastAsia" w:ascii="Times New Roman" w:hAnsi="Times New Roman" w:eastAsia="宋体" w:cs="Times New Roman"/>
          <w:b/>
          <w:bCs/>
          <w:kern w:val="44"/>
          <w:sz w:val="32"/>
          <w:szCs w:val="28"/>
        </w:rPr>
        <w:t>系统登录</w:t>
      </w:r>
      <w:bookmarkEnd w:id="5"/>
      <w:bookmarkEnd w:id="6"/>
      <w:bookmarkEnd w:id="7"/>
    </w:p>
    <w:p>
      <w:pPr>
        <w:spacing w:line="360" w:lineRule="auto"/>
        <w:ind w:firstLine="360" w:firstLineChars="150"/>
        <w:jc w:val="left"/>
        <w:rPr>
          <w:rFonts w:ascii="Times New Roman" w:hAnsi="Times New Roman" w:eastAsia="宋体" w:cs="Times New Roman"/>
          <w:sz w:val="24"/>
          <w:szCs w:val="24"/>
        </w:rPr>
      </w:pPr>
      <w:r>
        <w:rPr>
          <w:rFonts w:hint="eastAsia" w:ascii="Times New Roman" w:hAnsi="Times New Roman" w:eastAsia="宋体" w:cs="Times New Roman"/>
          <w:sz w:val="24"/>
          <w:szCs w:val="24"/>
        </w:rPr>
        <w:t>方法一：登录湖南省公共资源交易服务平台（</w:t>
      </w:r>
      <w:r>
        <w:rPr>
          <w:rFonts w:ascii="Times New Roman" w:hAnsi="Times New Roman" w:eastAsia="宋体" w:cs="Times New Roman"/>
          <w:sz w:val="24"/>
          <w:szCs w:val="24"/>
        </w:rPr>
        <w:t>http://www.hnsggzy.com/</w:t>
      </w:r>
      <w:r>
        <w:rPr>
          <w:rFonts w:hint="eastAsia" w:ascii="Times New Roman" w:hAnsi="Times New Roman" w:eastAsia="宋体" w:cs="Times New Roman"/>
          <w:sz w:val="24"/>
          <w:szCs w:val="24"/>
        </w:rPr>
        <w:t>）</w:t>
      </w:r>
      <w:r>
        <w:rPr>
          <w:rFonts w:ascii="Times New Roman" w:hAnsi="Times New Roman" w:eastAsia="宋体" w:cs="Times New Roman"/>
          <w:sz w:val="24"/>
          <w:szCs w:val="24"/>
        </w:rPr>
        <w:t>(可百度搜索)</w:t>
      </w:r>
      <w:r>
        <w:rPr>
          <w:rFonts w:hint="eastAsia" w:ascii="Times New Roman" w:hAnsi="Times New Roman" w:eastAsia="宋体" w:cs="Times New Roman"/>
          <w:sz w:val="24"/>
          <w:szCs w:val="24"/>
        </w:rPr>
        <w:t>，打开网上办事大厅-网上开标，进入登录页面，通过CA或用户名密码登录</w:t>
      </w:r>
      <w:r>
        <w:rPr>
          <w:rFonts w:ascii="Times New Roman" w:hAnsi="Times New Roman" w:eastAsia="宋体" w:cs="Times New Roman"/>
          <w:sz w:val="24"/>
          <w:szCs w:val="24"/>
        </w:rPr>
        <w:t>。</w:t>
      </w:r>
    </w:p>
    <w:p>
      <w:pPr>
        <w:spacing w:line="360" w:lineRule="auto"/>
        <w:jc w:val="left"/>
        <w:rPr>
          <w:rFonts w:ascii="Times New Roman" w:hAnsi="Times New Roman" w:eastAsia="宋体" w:cs="Times New Roman"/>
          <w:sz w:val="24"/>
          <w:szCs w:val="24"/>
        </w:rPr>
      </w:pPr>
      <w:r>
        <w:drawing>
          <wp:inline distT="0" distB="0" distL="0" distR="0">
            <wp:extent cx="5274310" cy="2400935"/>
            <wp:effectExtent l="0" t="0" r="2540" b="0"/>
            <wp:docPr id="135" name="图片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图片 13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0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ascii="Times New Roman" w:hAnsi="Times New Roman" w:eastAsia="宋体" w:cs="Times New Roman"/>
          <w:sz w:val="24"/>
          <w:szCs w:val="24"/>
        </w:rPr>
      </w:pPr>
      <w:r>
        <w:drawing>
          <wp:inline distT="0" distB="0" distL="0" distR="0">
            <wp:extent cx="5274310" cy="2402840"/>
            <wp:effectExtent l="0" t="0" r="2540" b="0"/>
            <wp:docPr id="136" name="图片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图片 13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360" w:firstLineChars="150"/>
        <w:jc w:val="left"/>
        <w:rPr>
          <w:rFonts w:ascii="Times New Roman" w:hAnsi="Times New Roman" w:eastAsia="宋体" w:cs="Times New Roman"/>
          <w:sz w:val="24"/>
          <w:szCs w:val="24"/>
        </w:rPr>
      </w:pPr>
      <w:r>
        <w:rPr>
          <w:rFonts w:ascii="Times New Roman" w:hAnsi="Times New Roman" w:eastAsia="宋体" w:cs="Times New Roman"/>
          <w:sz w:val="24"/>
          <w:szCs w:val="24"/>
        </w:rPr>
        <w:t>方法二</w:t>
      </w:r>
      <w:r>
        <w:rPr>
          <w:rFonts w:hint="eastAsia" w:ascii="Times New Roman" w:hAnsi="Times New Roman" w:eastAsia="宋体" w:cs="Times New Roman"/>
          <w:sz w:val="24"/>
          <w:szCs w:val="24"/>
        </w:rPr>
        <w:t>：登录湖南省公共资源交易中心网站（</w:t>
      </w:r>
      <w:r>
        <w:rPr>
          <w:rFonts w:ascii="Times New Roman" w:hAnsi="Times New Roman" w:eastAsia="宋体" w:cs="Times New Roman"/>
          <w:sz w:val="24"/>
          <w:szCs w:val="24"/>
        </w:rPr>
        <w:t>http://ggzy.hunan.gov.cn/</w:t>
      </w:r>
      <w:r>
        <w:rPr>
          <w:rFonts w:hint="eastAsia" w:ascii="Times New Roman" w:hAnsi="Times New Roman" w:eastAsia="宋体" w:cs="Times New Roman"/>
          <w:sz w:val="24"/>
          <w:szCs w:val="24"/>
        </w:rPr>
        <w:t>）</w:t>
      </w:r>
      <w:r>
        <w:rPr>
          <w:rFonts w:ascii="Times New Roman" w:hAnsi="Times New Roman" w:eastAsia="宋体" w:cs="Times New Roman"/>
          <w:sz w:val="24"/>
          <w:szCs w:val="24"/>
        </w:rPr>
        <w:t>(可百度搜索)</w:t>
      </w:r>
      <w:r>
        <w:rPr>
          <w:rFonts w:hint="eastAsia" w:ascii="Times New Roman" w:hAnsi="Times New Roman" w:eastAsia="宋体" w:cs="Times New Roman"/>
          <w:sz w:val="24"/>
          <w:szCs w:val="24"/>
        </w:rPr>
        <w:t>，打开网上开标，进入登录页面，通过CA、用户名密码登录</w:t>
      </w:r>
      <w:r>
        <w:rPr>
          <w:rFonts w:ascii="Times New Roman" w:hAnsi="Times New Roman" w:eastAsia="宋体" w:cs="Times New Roman"/>
          <w:sz w:val="24"/>
          <w:szCs w:val="24"/>
        </w:rPr>
        <w:t>。</w:t>
      </w:r>
    </w:p>
    <w:p>
      <w:pPr>
        <w:spacing w:line="360" w:lineRule="auto"/>
        <w:jc w:val="left"/>
        <w:rPr>
          <w:rFonts w:ascii="Times New Roman" w:hAnsi="Times New Roman" w:eastAsia="宋体" w:cs="Times New Roman"/>
          <w:sz w:val="24"/>
          <w:szCs w:val="24"/>
        </w:rPr>
      </w:pPr>
      <w:r>
        <w:drawing>
          <wp:inline distT="0" distB="0" distL="0" distR="0">
            <wp:extent cx="5274310" cy="2404110"/>
            <wp:effectExtent l="0" t="0" r="2540" b="0"/>
            <wp:docPr id="137" name="图片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图片 13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4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ascii="Times New Roman" w:hAnsi="Times New Roman" w:eastAsia="宋体" w:cs="Times New Roman"/>
          <w:sz w:val="24"/>
          <w:szCs w:val="24"/>
        </w:rPr>
      </w:pPr>
      <w:r>
        <w:drawing>
          <wp:inline distT="0" distB="0" distL="0" distR="0">
            <wp:extent cx="5274310" cy="2402840"/>
            <wp:effectExtent l="0" t="0" r="2540" b="0"/>
            <wp:docPr id="138" name="图片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图片 13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ascii="Times New Roman" w:hAnsi="Times New Roman" w:eastAsia="宋体" w:cs="Times New Roman"/>
          <w:sz w:val="24"/>
          <w:szCs w:val="24"/>
        </w:rPr>
      </w:pPr>
      <w:r>
        <w:rPr>
          <w:rFonts w:ascii="Times New Roman" w:hAnsi="Times New Roman" w:eastAsia="宋体" w:cs="Times New Roman"/>
          <w:sz w:val="24"/>
          <w:szCs w:val="24"/>
        </w:rPr>
        <w:t>方法三</w:t>
      </w:r>
      <w:r>
        <w:rPr>
          <w:rFonts w:hint="eastAsia" w:ascii="Times New Roman" w:hAnsi="Times New Roman" w:eastAsia="宋体" w:cs="Times New Roman"/>
          <w:sz w:val="24"/>
          <w:szCs w:val="24"/>
        </w:rPr>
        <w:t>：</w:t>
      </w:r>
      <w:r>
        <w:rPr>
          <w:rFonts w:ascii="Times New Roman" w:hAnsi="Times New Roman" w:eastAsia="宋体" w:cs="Times New Roman"/>
          <w:sz w:val="24"/>
          <w:szCs w:val="24"/>
        </w:rPr>
        <w:t>投标单位登录交易系统后</w:t>
      </w:r>
      <w:r>
        <w:rPr>
          <w:rFonts w:hint="eastAsia" w:ascii="Times New Roman" w:hAnsi="Times New Roman" w:eastAsia="宋体" w:cs="Times New Roman"/>
          <w:sz w:val="24"/>
          <w:szCs w:val="24"/>
        </w:rPr>
        <w:t>，通过“</w:t>
      </w: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>网上开标大厅</w:t>
      </w:r>
      <w:r>
        <w:rPr>
          <w:rFonts w:hint="eastAsia" w:ascii="Times New Roman" w:hAnsi="Times New Roman" w:eastAsia="宋体" w:cs="Times New Roman"/>
          <w:sz w:val="24"/>
          <w:szCs w:val="24"/>
        </w:rPr>
        <w:t>”菜单进入网上开标系统。</w:t>
      </w:r>
    </w:p>
    <w:p>
      <w:pPr>
        <w:spacing w:line="360" w:lineRule="auto"/>
        <w:jc w:val="left"/>
        <w:rPr>
          <w:rFonts w:ascii="Times New Roman" w:hAnsi="Times New Roman" w:eastAsia="宋体" w:cs="Times New Roman"/>
          <w:sz w:val="24"/>
          <w:szCs w:val="24"/>
        </w:rPr>
      </w:pPr>
      <w:r>
        <w:drawing>
          <wp:inline distT="0" distB="0" distL="114300" distR="114300">
            <wp:extent cx="5266690" cy="2290445"/>
            <wp:effectExtent l="0" t="0" r="10160" b="14605"/>
            <wp:docPr id="1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9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</w:pPr>
      <w:r>
        <w:drawing>
          <wp:inline distT="0" distB="0" distL="0" distR="0">
            <wp:extent cx="5274310" cy="240284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hint="eastAsia" w:ascii="Times New Roman" w:hAnsi="Times New Roman" w:eastAsia="宋体" w:cs="Times New Roman"/>
          <w:color w:val="FF0000"/>
          <w:szCs w:val="24"/>
        </w:rPr>
      </w:pPr>
      <w:r>
        <w:rPr>
          <w:rFonts w:hint="eastAsia" w:ascii="Times New Roman" w:hAnsi="Times New Roman" w:eastAsia="宋体" w:cs="Times New Roman"/>
          <w:color w:val="FF0000"/>
          <w:szCs w:val="24"/>
          <w:lang w:val="en-US" w:eastAsia="zh-CN"/>
        </w:rPr>
        <w:t>注：投标截止时间（开标时间）前登录交易平台网上开标大厅进入对应项目，等待开标。</w:t>
      </w:r>
    </w:p>
    <w:p>
      <w:pPr>
        <w:pStyle w:val="3"/>
        <w:numPr>
          <w:ilvl w:val="0"/>
          <w:numId w:val="1"/>
        </w:numPr>
        <w:ind w:left="0" w:leftChars="0" w:firstLine="400" w:firstLineChars="0"/>
        <w:outlineLvl w:val="0"/>
        <w:rPr>
          <w:rFonts w:ascii="Times New Roman" w:hAnsi="Times New Roman" w:eastAsia="宋体" w:cs="Times New Roman"/>
          <w:b/>
          <w:bCs/>
          <w:kern w:val="44"/>
          <w:sz w:val="32"/>
          <w:szCs w:val="28"/>
        </w:rPr>
      </w:pPr>
      <w:bookmarkStart w:id="8" w:name="_Toc25457"/>
      <w:r>
        <w:rPr>
          <w:rFonts w:hint="eastAsia" w:ascii="Times New Roman" w:hAnsi="Times New Roman" w:eastAsia="宋体" w:cs="Times New Roman"/>
          <w:b/>
          <w:bCs/>
          <w:kern w:val="44"/>
          <w:sz w:val="32"/>
          <w:szCs w:val="28"/>
        </w:rPr>
        <w:t>网上开标操作</w:t>
      </w:r>
      <w:bookmarkEnd w:id="8"/>
    </w:p>
    <w:p>
      <w:pPr>
        <w:pStyle w:val="14"/>
        <w:keepNext/>
        <w:keepLines/>
        <w:numPr>
          <w:ilvl w:val="1"/>
          <w:numId w:val="2"/>
        </w:numPr>
        <w:tabs>
          <w:tab w:val="left" w:pos="567"/>
        </w:tabs>
        <w:spacing w:before="120" w:after="120" w:line="360" w:lineRule="auto"/>
        <w:ind w:firstLineChars="0"/>
        <w:outlineLvl w:val="1"/>
        <w:rPr>
          <w:rFonts w:ascii="Times New Roman" w:hAnsi="Times New Roman" w:eastAsia="宋体" w:cs="Times New Roman"/>
          <w:b/>
          <w:bCs/>
          <w:sz w:val="30"/>
          <w:szCs w:val="32"/>
        </w:rPr>
      </w:pPr>
      <w:bookmarkStart w:id="9" w:name="_Toc30633"/>
      <w:r>
        <w:rPr>
          <w:rFonts w:ascii="Times New Roman" w:hAnsi="Times New Roman" w:eastAsia="宋体" w:cs="Times New Roman"/>
          <w:b/>
          <w:bCs/>
          <w:sz w:val="30"/>
          <w:szCs w:val="32"/>
        </w:rPr>
        <w:tab/>
      </w:r>
      <w:bookmarkStart w:id="10" w:name="_Toc24526"/>
      <w:r>
        <w:rPr>
          <w:rFonts w:hint="eastAsia" w:ascii="Times New Roman" w:hAnsi="Times New Roman" w:eastAsia="宋体" w:cs="Times New Roman"/>
          <w:b/>
          <w:bCs/>
          <w:sz w:val="30"/>
          <w:szCs w:val="32"/>
        </w:rPr>
        <w:t>项目列表页面</w:t>
      </w:r>
      <w:bookmarkEnd w:id="9"/>
      <w:bookmarkEnd w:id="10"/>
    </w:p>
    <w:p>
      <w:pPr>
        <w:spacing w:line="360" w:lineRule="auto"/>
        <w:jc w:val="left"/>
        <w:rPr>
          <w:rFonts w:ascii="Times New Roman" w:hAnsi="Times New Roman" w:eastAsia="宋体" w:cs="Times New Roman"/>
          <w:szCs w:val="24"/>
        </w:rPr>
      </w:pPr>
      <w:r>
        <w:rPr>
          <w:rFonts w:hint="eastAsia" w:ascii="Times New Roman" w:hAnsi="Times New Roman" w:eastAsia="宋体" w:cs="Times New Roman"/>
          <w:szCs w:val="24"/>
        </w:rPr>
        <w:t>投标人登录之后可以看到当前今日开标标段</w:t>
      </w:r>
      <w:r>
        <w:rPr>
          <w:rFonts w:ascii="Times New Roman" w:hAnsi="Times New Roman" w:eastAsia="宋体" w:cs="Times New Roman"/>
          <w:szCs w:val="24"/>
        </w:rPr>
        <w:t>。</w:t>
      </w:r>
    </w:p>
    <w:p>
      <w:pPr>
        <w:spacing w:line="360" w:lineRule="auto"/>
        <w:jc w:val="left"/>
        <w:rPr>
          <w:rFonts w:ascii="Times New Roman" w:hAnsi="Times New Roman" w:eastAsia="宋体" w:cs="Times New Roman"/>
          <w:szCs w:val="24"/>
        </w:rPr>
      </w:pPr>
      <w:r>
        <w:rPr>
          <w:rFonts w:hint="eastAsia" w:ascii="Times New Roman" w:hAnsi="Times New Roman" w:eastAsia="宋体" w:cs="Times New Roman"/>
          <w:szCs w:val="24"/>
        </w:rPr>
        <w:t>注意：请提前进入开标大厅，待主持人在系统发起操作指令。</w:t>
      </w:r>
    </w:p>
    <w:p>
      <w:pPr>
        <w:spacing w:line="360" w:lineRule="auto"/>
        <w:ind w:firstLine="420" w:firstLineChars="200"/>
        <w:jc w:val="left"/>
        <w:rPr>
          <w:rFonts w:ascii="Times New Roman" w:hAnsi="Times New Roman" w:eastAsia="宋体" w:cs="Times New Roman"/>
          <w:szCs w:val="24"/>
        </w:rPr>
      </w:pPr>
      <w:r>
        <w:rPr>
          <w:rFonts w:ascii="Times New Roman" w:hAnsi="Times New Roman" w:eastAsia="宋体" w:cs="Times New Roman"/>
          <w:szCs w:val="24"/>
        </w:rPr>
        <w:t>1、登录系统后</w:t>
      </w:r>
      <w:r>
        <w:rPr>
          <w:rFonts w:hint="eastAsia" w:ascii="Times New Roman" w:hAnsi="Times New Roman" w:eastAsia="宋体" w:cs="Times New Roman"/>
          <w:szCs w:val="24"/>
        </w:rPr>
        <w:t>，</w:t>
      </w:r>
      <w:r>
        <w:rPr>
          <w:rFonts w:ascii="Times New Roman" w:hAnsi="Times New Roman" w:eastAsia="宋体" w:cs="Times New Roman"/>
          <w:szCs w:val="24"/>
        </w:rPr>
        <w:t>可查看</w:t>
      </w:r>
      <w:r>
        <w:rPr>
          <w:rFonts w:hint="eastAsia" w:ascii="Times New Roman" w:hAnsi="Times New Roman" w:eastAsia="宋体" w:cs="Times New Roman"/>
          <w:szCs w:val="24"/>
        </w:rPr>
        <w:t>标段开标状态，点击进入对应开标标段。右上角有“退出”按钮，点击可退出系统</w:t>
      </w:r>
      <w:r>
        <w:rPr>
          <w:rFonts w:ascii="Times New Roman" w:hAnsi="Times New Roman" w:eastAsia="宋体" w:cs="Times New Roman"/>
          <w:szCs w:val="24"/>
        </w:rPr>
        <w:t>，</w:t>
      </w:r>
      <w:r>
        <w:rPr>
          <w:rFonts w:hint="eastAsia" w:ascii="Times New Roman" w:hAnsi="Times New Roman" w:eastAsia="宋体" w:cs="Times New Roman"/>
          <w:szCs w:val="24"/>
        </w:rPr>
        <w:t>中间项目列表区域右上角可根据标段名称或者标段编号查询，</w:t>
      </w:r>
      <w:r>
        <w:rPr>
          <w:rFonts w:ascii="Times New Roman" w:hAnsi="Times New Roman" w:eastAsia="宋体" w:cs="Times New Roman"/>
          <w:szCs w:val="24"/>
        </w:rPr>
        <w:t>如下图：</w:t>
      </w:r>
    </w:p>
    <w:p>
      <w:pPr>
        <w:spacing w:line="360" w:lineRule="auto"/>
        <w:jc w:val="left"/>
        <w:rPr>
          <w:rFonts w:ascii="Times New Roman" w:hAnsi="Times New Roman" w:eastAsia="宋体" w:cs="Times New Roman"/>
          <w:szCs w:val="24"/>
        </w:rPr>
      </w:pPr>
      <w:r>
        <w:rPr>
          <w:rFonts w:ascii="Times New Roman" w:hAnsi="Times New Roman" w:eastAsia="宋体" w:cs="Times New Roman"/>
          <w:szCs w:val="24"/>
        </w:rPr>
        <w:drawing>
          <wp:inline distT="0" distB="0" distL="0" distR="0">
            <wp:extent cx="5234940" cy="2537460"/>
            <wp:effectExtent l="0" t="0" r="3810" b="0"/>
            <wp:docPr id="214" name="图片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图片 21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34940" cy="253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4"/>
        <w:keepNext/>
        <w:keepLines/>
        <w:numPr>
          <w:ilvl w:val="1"/>
          <w:numId w:val="2"/>
        </w:numPr>
        <w:tabs>
          <w:tab w:val="left" w:pos="567"/>
        </w:tabs>
        <w:spacing w:before="120" w:after="120" w:line="360" w:lineRule="auto"/>
        <w:ind w:firstLineChars="0"/>
        <w:outlineLvl w:val="1"/>
        <w:rPr>
          <w:rFonts w:ascii="Times New Roman" w:hAnsi="Times New Roman" w:eastAsia="宋体" w:cs="Times New Roman"/>
          <w:b/>
          <w:bCs/>
          <w:sz w:val="30"/>
          <w:szCs w:val="32"/>
        </w:rPr>
      </w:pPr>
      <w:bookmarkStart w:id="11" w:name="_Toc4088"/>
      <w:bookmarkStart w:id="12" w:name="_Toc19354"/>
      <w:r>
        <w:rPr>
          <w:rFonts w:hint="eastAsia" w:ascii="Times New Roman" w:hAnsi="Times New Roman" w:eastAsia="宋体" w:cs="Times New Roman"/>
          <w:b/>
          <w:bCs/>
          <w:sz w:val="30"/>
          <w:szCs w:val="32"/>
        </w:rPr>
        <w:t>进入开标大厅</w:t>
      </w:r>
      <w:bookmarkEnd w:id="11"/>
      <w:bookmarkEnd w:id="12"/>
    </w:p>
    <w:p>
      <w:pPr>
        <w:numPr>
          <w:ilvl w:val="0"/>
          <w:numId w:val="3"/>
        </w:numPr>
        <w:spacing w:line="360" w:lineRule="auto"/>
        <w:ind w:firstLine="420" w:firstLineChars="200"/>
        <w:jc w:val="left"/>
        <w:rPr>
          <w:rFonts w:ascii="Times New Roman" w:hAnsi="Times New Roman" w:eastAsia="宋体" w:cs="Times New Roman"/>
          <w:szCs w:val="24"/>
        </w:rPr>
      </w:pPr>
      <w:r>
        <w:rPr>
          <w:rFonts w:hint="eastAsia" w:ascii="Times New Roman" w:hAnsi="Times New Roman" w:eastAsia="宋体" w:cs="Times New Roman"/>
          <w:szCs w:val="24"/>
        </w:rPr>
        <w:t>进入页面首先阅读开标流程，以实际登录系统为准，点击“我已阅读”进入开标大厅，点击“取消”返回项目列表页面</w:t>
      </w:r>
      <w:r>
        <w:rPr>
          <w:rFonts w:ascii="Times New Roman" w:hAnsi="Times New Roman" w:eastAsia="宋体" w:cs="Times New Roman"/>
          <w:szCs w:val="24"/>
        </w:rPr>
        <w:t>。</w:t>
      </w:r>
    </w:p>
    <w:p>
      <w:pPr>
        <w:spacing w:line="360" w:lineRule="auto"/>
        <w:jc w:val="left"/>
        <w:rPr>
          <w:rFonts w:ascii="Times New Roman" w:hAnsi="Times New Roman" w:eastAsia="宋体" w:cs="Times New Roman"/>
          <w:szCs w:val="24"/>
        </w:rPr>
      </w:pPr>
      <w:r>
        <w:rPr>
          <w:rFonts w:ascii="Times New Roman" w:hAnsi="Times New Roman" w:eastAsia="宋体" w:cs="Times New Roman"/>
          <w:szCs w:val="24"/>
        </w:rPr>
        <w:drawing>
          <wp:inline distT="0" distB="0" distL="0" distR="0">
            <wp:extent cx="5242560" cy="2948940"/>
            <wp:effectExtent l="0" t="0" r="0" b="3810"/>
            <wp:docPr id="213" name="图片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图片 2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42560" cy="294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spacing w:line="360" w:lineRule="auto"/>
        <w:ind w:firstLine="420" w:firstLineChars="200"/>
        <w:jc w:val="left"/>
        <w:rPr>
          <w:rFonts w:ascii="Times New Roman" w:hAnsi="Times New Roman" w:eastAsia="宋体" w:cs="Times New Roman"/>
          <w:szCs w:val="24"/>
        </w:rPr>
      </w:pPr>
      <w:r>
        <w:rPr>
          <w:rFonts w:hint="eastAsia" w:ascii="Times New Roman" w:hAnsi="Times New Roman" w:eastAsia="宋体" w:cs="Times New Roman"/>
          <w:szCs w:val="24"/>
        </w:rPr>
        <w:t>页面上方展示基础信息、右上方有“返回”按钮，点击返回项目列表页面；</w:t>
      </w:r>
    </w:p>
    <w:p>
      <w:pPr>
        <w:numPr>
          <w:ilvl w:val="0"/>
          <w:numId w:val="3"/>
        </w:numPr>
        <w:spacing w:line="360" w:lineRule="auto"/>
        <w:ind w:firstLine="420" w:firstLineChars="200"/>
        <w:jc w:val="left"/>
        <w:rPr>
          <w:rFonts w:ascii="Times New Roman" w:hAnsi="Times New Roman" w:eastAsia="宋体" w:cs="Times New Roman"/>
          <w:szCs w:val="24"/>
        </w:rPr>
      </w:pPr>
      <w:r>
        <w:rPr>
          <w:rFonts w:hint="eastAsia" w:ascii="Times New Roman" w:hAnsi="Times New Roman" w:eastAsia="宋体" w:cs="Times New Roman"/>
          <w:szCs w:val="24"/>
        </w:rPr>
        <w:t>左侧中间部分是开标环节展示，不同开标过程展示不同的内容；</w:t>
      </w:r>
    </w:p>
    <w:p>
      <w:pPr>
        <w:spacing w:line="360" w:lineRule="auto"/>
        <w:jc w:val="left"/>
        <w:rPr>
          <w:rFonts w:ascii="Times New Roman" w:hAnsi="Times New Roman" w:eastAsia="宋体" w:cs="Times New Roman"/>
          <w:szCs w:val="24"/>
        </w:rPr>
      </w:pPr>
      <w:r>
        <w:rPr>
          <w:rFonts w:ascii="Times New Roman" w:hAnsi="Times New Roman" w:eastAsia="宋体" w:cs="Times New Roman"/>
          <w:szCs w:val="24"/>
        </w:rPr>
        <w:drawing>
          <wp:inline distT="0" distB="0" distL="0" distR="0">
            <wp:extent cx="5234940" cy="2948940"/>
            <wp:effectExtent l="0" t="0" r="3810" b="3810"/>
            <wp:docPr id="212" name="图片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图片 21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34940" cy="294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spacing w:line="360" w:lineRule="auto"/>
        <w:ind w:firstLine="420" w:firstLineChars="200"/>
        <w:jc w:val="left"/>
        <w:rPr>
          <w:rFonts w:hint="eastAsia" w:ascii="Times New Roman" w:hAnsi="Times New Roman" w:eastAsia="宋体" w:cs="Times New Roman"/>
          <w:szCs w:val="24"/>
        </w:rPr>
      </w:pPr>
      <w:r>
        <w:rPr>
          <w:rFonts w:hint="eastAsia" w:ascii="Times New Roman" w:hAnsi="Times New Roman" w:eastAsia="宋体" w:cs="Times New Roman"/>
          <w:szCs w:val="24"/>
        </w:rPr>
        <w:t>右侧上部分为直播，直播开标场景，主持人开启直播直接即可观看；如果只能看到视频但听不到声音，刷新浏览器或者直播模式切换成主持人桌面即可。</w:t>
      </w:r>
    </w:p>
    <w:p>
      <w:pPr>
        <w:spacing w:line="360" w:lineRule="auto"/>
        <w:jc w:val="left"/>
        <w:rPr>
          <w:rFonts w:ascii="Times New Roman" w:hAnsi="Times New Roman" w:eastAsia="宋体" w:cs="Times New Roman"/>
          <w:szCs w:val="24"/>
        </w:rPr>
      </w:pPr>
      <w:r>
        <w:drawing>
          <wp:inline distT="0" distB="0" distL="0" distR="0">
            <wp:extent cx="5274310" cy="2146935"/>
            <wp:effectExtent l="0" t="0" r="2540" b="571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46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spacing w:line="360" w:lineRule="auto"/>
        <w:ind w:firstLine="420" w:firstLineChars="200"/>
        <w:jc w:val="left"/>
        <w:rPr>
          <w:rFonts w:ascii="Times New Roman" w:hAnsi="Times New Roman" w:eastAsia="宋体" w:cs="Times New Roman"/>
          <w:szCs w:val="24"/>
        </w:rPr>
      </w:pPr>
      <w:r>
        <w:rPr>
          <w:rFonts w:hint="eastAsia" w:ascii="Times New Roman" w:hAnsi="Times New Roman" w:eastAsia="宋体" w:cs="Times New Roman"/>
          <w:szCs w:val="24"/>
        </w:rPr>
        <w:t>右侧下部分是公告栏，主要展示阶段信息、主持人切换视频、暂停、解密等信息；点击右上角放大镜可查看更多；</w:t>
      </w:r>
    </w:p>
    <w:p>
      <w:pPr>
        <w:spacing w:line="360" w:lineRule="auto"/>
        <w:jc w:val="left"/>
        <w:rPr>
          <w:rFonts w:ascii="Times New Roman" w:hAnsi="Times New Roman" w:eastAsia="宋体" w:cs="Times New Roman"/>
          <w:szCs w:val="24"/>
        </w:rPr>
      </w:pPr>
      <w:r>
        <w:rPr>
          <w:rFonts w:ascii="Times New Roman" w:hAnsi="Times New Roman" w:eastAsia="宋体" w:cs="Times New Roman"/>
          <w:szCs w:val="24"/>
        </w:rPr>
        <w:drawing>
          <wp:inline distT="0" distB="0" distL="0" distR="0">
            <wp:extent cx="5234940" cy="2948940"/>
            <wp:effectExtent l="0" t="0" r="3810" b="3810"/>
            <wp:docPr id="211" name="图片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图片 2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34940" cy="294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4"/>
        <w:keepNext/>
        <w:keepLines/>
        <w:numPr>
          <w:ilvl w:val="1"/>
          <w:numId w:val="2"/>
        </w:numPr>
        <w:tabs>
          <w:tab w:val="left" w:pos="567"/>
        </w:tabs>
        <w:spacing w:before="120" w:after="120" w:line="360" w:lineRule="auto"/>
        <w:ind w:firstLineChars="0"/>
        <w:outlineLvl w:val="1"/>
        <w:rPr>
          <w:rFonts w:ascii="Times New Roman" w:hAnsi="Times New Roman" w:eastAsia="宋体" w:cs="Times New Roman"/>
          <w:b/>
          <w:bCs/>
          <w:sz w:val="30"/>
          <w:szCs w:val="32"/>
        </w:rPr>
      </w:pPr>
      <w:bookmarkStart w:id="13" w:name="_Toc7661"/>
      <w:bookmarkStart w:id="14" w:name="_Toc16101"/>
      <w:r>
        <w:rPr>
          <w:rFonts w:hint="eastAsia" w:ascii="Times New Roman" w:hAnsi="Times New Roman" w:eastAsia="宋体" w:cs="Times New Roman"/>
          <w:b/>
          <w:bCs/>
          <w:sz w:val="30"/>
          <w:szCs w:val="32"/>
        </w:rPr>
        <w:t>等待开标</w:t>
      </w:r>
      <w:bookmarkEnd w:id="13"/>
      <w:bookmarkEnd w:id="14"/>
    </w:p>
    <w:p>
      <w:pPr>
        <w:spacing w:line="360" w:lineRule="auto"/>
        <w:ind w:firstLine="420" w:firstLineChars="200"/>
        <w:jc w:val="left"/>
        <w:rPr>
          <w:rFonts w:ascii="Times New Roman" w:hAnsi="Times New Roman" w:eastAsia="宋体" w:cs="Times New Roman"/>
          <w:bCs/>
          <w:szCs w:val="24"/>
        </w:rPr>
      </w:pPr>
      <w:r>
        <w:rPr>
          <w:rFonts w:hint="eastAsia" w:ascii="Times New Roman" w:hAnsi="Times New Roman" w:eastAsia="宋体" w:cs="Times New Roman"/>
          <w:bCs/>
          <w:szCs w:val="24"/>
        </w:rPr>
        <w:t>开标时间未到</w:t>
      </w:r>
      <w:r>
        <w:rPr>
          <w:rFonts w:hint="eastAsia" w:ascii="Times New Roman" w:hAnsi="Times New Roman" w:eastAsia="宋体" w:cs="Times New Roman"/>
          <w:bCs/>
          <w:szCs w:val="24"/>
          <w:lang w:eastAsia="zh-CN"/>
        </w:rPr>
        <w:t>，</w:t>
      </w:r>
      <w:r>
        <w:rPr>
          <w:rFonts w:hint="eastAsia" w:ascii="Times New Roman" w:hAnsi="Times New Roman" w:eastAsia="宋体" w:cs="Times New Roman"/>
          <w:bCs/>
          <w:szCs w:val="24"/>
        </w:rPr>
        <w:t>投标人等待开标时</w:t>
      </w:r>
      <w:r>
        <w:rPr>
          <w:rFonts w:hint="eastAsia" w:ascii="Times New Roman" w:hAnsi="Times New Roman" w:eastAsia="宋体" w:cs="Times New Roman"/>
          <w:bCs/>
          <w:szCs w:val="24"/>
          <w:lang w:val="en-US" w:eastAsia="zh-CN"/>
        </w:rPr>
        <w:t>可进行</w:t>
      </w:r>
      <w:r>
        <w:rPr>
          <w:rFonts w:hint="eastAsia" w:ascii="Times New Roman" w:hAnsi="Times New Roman" w:eastAsia="宋体" w:cs="Times New Roman"/>
          <w:bCs/>
          <w:szCs w:val="24"/>
        </w:rPr>
        <w:t>签到，等候开标</w:t>
      </w:r>
      <w:r>
        <w:rPr>
          <w:rFonts w:ascii="Times New Roman" w:hAnsi="Times New Roman" w:eastAsia="宋体" w:cs="Times New Roman"/>
          <w:bCs/>
          <w:szCs w:val="24"/>
        </w:rPr>
        <w:t>。</w:t>
      </w:r>
    </w:p>
    <w:p>
      <w:pPr>
        <w:spacing w:line="360" w:lineRule="auto"/>
        <w:ind w:firstLine="420" w:firstLineChars="200"/>
        <w:jc w:val="left"/>
        <w:rPr>
          <w:rFonts w:hint="default" w:ascii="Times New Roman" w:hAnsi="Times New Roman" w:eastAsia="宋体" w:cs="Times New Roman"/>
          <w:color w:val="FF0000"/>
          <w:szCs w:val="24"/>
          <w:lang w:val="en-US"/>
        </w:rPr>
      </w:pPr>
      <w:r>
        <w:rPr>
          <w:rFonts w:ascii="Times New Roman" w:hAnsi="Times New Roman" w:eastAsia="宋体" w:cs="Times New Roman"/>
          <w:color w:val="FF0000"/>
          <w:szCs w:val="24"/>
        </w:rPr>
        <w:t>注：</w:t>
      </w:r>
      <w:r>
        <w:rPr>
          <w:rFonts w:hint="eastAsia" w:ascii="Times New Roman" w:hAnsi="Times New Roman" w:eastAsia="宋体" w:cs="Times New Roman"/>
          <w:color w:val="FF0000"/>
          <w:szCs w:val="24"/>
        </w:rPr>
        <w:t xml:space="preserve"> 开标时间到了之后不能签到</w:t>
      </w:r>
      <w:r>
        <w:rPr>
          <w:rFonts w:hint="eastAsia" w:ascii="Times New Roman" w:hAnsi="Times New Roman" w:eastAsia="宋体" w:cs="Times New Roman"/>
          <w:color w:val="FF0000"/>
          <w:szCs w:val="24"/>
          <w:lang w:val="en-US" w:eastAsia="zh-CN"/>
        </w:rPr>
        <w:t>操作，已上传投标文件的，待招标代理发起解密后即可进行解密操作。</w:t>
      </w:r>
    </w:p>
    <w:p>
      <w:pPr>
        <w:numPr>
          <w:ilvl w:val="0"/>
          <w:numId w:val="4"/>
        </w:numPr>
        <w:tabs>
          <w:tab w:val="left" w:pos="464"/>
        </w:tabs>
        <w:spacing w:line="360" w:lineRule="auto"/>
        <w:ind w:firstLine="420" w:firstLineChars="200"/>
        <w:jc w:val="left"/>
        <w:rPr>
          <w:rFonts w:ascii="Times New Roman" w:hAnsi="Times New Roman" w:eastAsia="宋体" w:cs="Times New Roman"/>
          <w:szCs w:val="24"/>
        </w:rPr>
      </w:pPr>
      <w:r>
        <w:rPr>
          <w:rFonts w:hint="eastAsia" w:ascii="Times New Roman" w:hAnsi="Times New Roman" w:eastAsia="宋体" w:cs="Times New Roman"/>
          <w:szCs w:val="24"/>
        </w:rPr>
        <w:tab/>
      </w:r>
      <w:r>
        <w:rPr>
          <w:rFonts w:hint="eastAsia" w:ascii="Times New Roman" w:hAnsi="Times New Roman" w:eastAsia="宋体" w:cs="Times New Roman"/>
          <w:szCs w:val="24"/>
        </w:rPr>
        <w:t>点击下方“签到”按钮进行签到</w:t>
      </w:r>
      <w:r>
        <w:rPr>
          <w:rFonts w:ascii="Times New Roman" w:hAnsi="Times New Roman" w:eastAsia="宋体" w:cs="Times New Roman"/>
          <w:szCs w:val="24"/>
        </w:rPr>
        <w:t>。签到成功后会在右下信息框显示</w:t>
      </w:r>
      <w:r>
        <w:rPr>
          <w:rFonts w:hint="eastAsia" w:ascii="Times New Roman" w:hAnsi="Times New Roman" w:eastAsia="宋体" w:cs="Times New Roman"/>
          <w:szCs w:val="24"/>
        </w:rPr>
        <w:t>，</w:t>
      </w:r>
      <w:r>
        <w:rPr>
          <w:rFonts w:ascii="Times New Roman" w:hAnsi="Times New Roman" w:eastAsia="宋体" w:cs="Times New Roman"/>
          <w:szCs w:val="24"/>
        </w:rPr>
        <w:t>签到情况</w:t>
      </w:r>
      <w:r>
        <w:rPr>
          <w:rFonts w:hint="eastAsia" w:ascii="Times New Roman" w:hAnsi="Times New Roman" w:eastAsia="宋体" w:cs="Times New Roman"/>
          <w:szCs w:val="24"/>
        </w:rPr>
        <w:t>。签到成功之后，按钮灰化，无需再次签到</w:t>
      </w:r>
    </w:p>
    <w:p>
      <w:pPr>
        <w:spacing w:line="360" w:lineRule="auto"/>
        <w:jc w:val="left"/>
        <w:rPr>
          <w:rFonts w:ascii="Times New Roman" w:hAnsi="Times New Roman" w:eastAsia="宋体" w:cs="Times New Roman"/>
          <w:szCs w:val="24"/>
        </w:rPr>
      </w:pPr>
      <w:r>
        <w:rPr>
          <w:rFonts w:ascii="Times New Roman" w:hAnsi="Times New Roman" w:eastAsia="宋体" w:cs="Times New Roman"/>
          <w:szCs w:val="24"/>
        </w:rPr>
        <w:drawing>
          <wp:inline distT="0" distB="0" distL="0" distR="0">
            <wp:extent cx="5242560" cy="2948940"/>
            <wp:effectExtent l="0" t="0" r="0" b="3810"/>
            <wp:docPr id="210" name="图片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图片 21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42560" cy="294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spacing w:line="360" w:lineRule="auto"/>
        <w:ind w:firstLine="420" w:firstLineChars="200"/>
        <w:jc w:val="left"/>
        <w:rPr>
          <w:rFonts w:ascii="Times New Roman" w:hAnsi="Times New Roman" w:eastAsia="宋体" w:cs="Times New Roman"/>
          <w:szCs w:val="24"/>
        </w:rPr>
      </w:pPr>
      <w:r>
        <w:rPr>
          <w:rFonts w:hint="eastAsia" w:ascii="Times New Roman" w:hAnsi="Times New Roman" w:eastAsia="宋体" w:cs="Times New Roman"/>
          <w:szCs w:val="24"/>
        </w:rPr>
        <w:t>同时第一个座位图右下角出现绿色√；</w:t>
      </w:r>
    </w:p>
    <w:p>
      <w:pPr>
        <w:spacing w:line="360" w:lineRule="auto"/>
        <w:jc w:val="left"/>
        <w:rPr>
          <w:rFonts w:ascii="Times New Roman" w:hAnsi="Times New Roman" w:eastAsia="宋体" w:cs="Times New Roman"/>
          <w:szCs w:val="24"/>
        </w:rPr>
      </w:pPr>
      <w:r>
        <w:rPr>
          <w:rFonts w:ascii="Times New Roman" w:hAnsi="Times New Roman" w:eastAsia="宋体" w:cs="Times New Roman"/>
          <w:szCs w:val="24"/>
        </w:rPr>
        <w:drawing>
          <wp:inline distT="0" distB="0" distL="0" distR="0">
            <wp:extent cx="5242560" cy="2948940"/>
            <wp:effectExtent l="0" t="0" r="0" b="3810"/>
            <wp:docPr id="208" name="图片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图片 20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42560" cy="294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420" w:leftChars="200"/>
        <w:jc w:val="left"/>
        <w:rPr>
          <w:rFonts w:ascii="Times New Roman" w:hAnsi="Times New Roman" w:eastAsia="宋体" w:cs="Times New Roman"/>
          <w:szCs w:val="24"/>
        </w:rPr>
      </w:pPr>
      <w:r>
        <w:rPr>
          <w:rFonts w:hint="eastAsia" w:ascii="Times New Roman" w:hAnsi="Times New Roman" w:eastAsia="宋体" w:cs="Times New Roman"/>
          <w:szCs w:val="24"/>
        </w:rPr>
        <w:t>在席：</w:t>
      </w:r>
      <w:r>
        <w:rPr>
          <w:rFonts w:ascii="Times New Roman" w:hAnsi="Times New Roman" w:eastAsia="宋体" w:cs="Times New Roman"/>
          <w:szCs w:val="24"/>
        </w:rPr>
        <w:drawing>
          <wp:inline distT="0" distB="0" distL="0" distR="0">
            <wp:extent cx="678180" cy="632460"/>
            <wp:effectExtent l="0" t="0" r="7620" b="0"/>
            <wp:docPr id="207" name="图片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图片 20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8180" cy="63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宋体" w:cs="Times New Roman"/>
          <w:szCs w:val="24"/>
        </w:rPr>
        <w:t xml:space="preserve"> 离席：</w:t>
      </w:r>
      <w:r>
        <w:rPr>
          <w:rFonts w:ascii="Times New Roman" w:hAnsi="Times New Roman" w:eastAsia="宋体" w:cs="Times New Roman"/>
          <w:szCs w:val="24"/>
        </w:rPr>
        <w:drawing>
          <wp:inline distT="0" distB="0" distL="0" distR="0">
            <wp:extent cx="670560" cy="632460"/>
            <wp:effectExtent l="0" t="0" r="0" b="0"/>
            <wp:docPr id="206" name="图片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图片 20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0560" cy="63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宋体" w:cs="Times New Roman"/>
          <w:szCs w:val="24"/>
        </w:rPr>
        <w:t>，已签到：</w:t>
      </w:r>
      <w:r>
        <w:rPr>
          <w:rFonts w:ascii="Times New Roman" w:hAnsi="Times New Roman" w:eastAsia="宋体" w:cs="Times New Roman"/>
          <w:szCs w:val="24"/>
        </w:rPr>
        <w:drawing>
          <wp:inline distT="0" distB="0" distL="0" distR="0">
            <wp:extent cx="1722120" cy="678180"/>
            <wp:effectExtent l="0" t="0" r="0" b="7620"/>
            <wp:docPr id="205" name="图片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图片 20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2120" cy="67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4"/>
        <w:keepNext/>
        <w:keepLines/>
        <w:numPr>
          <w:ilvl w:val="1"/>
          <w:numId w:val="2"/>
        </w:numPr>
        <w:tabs>
          <w:tab w:val="left" w:pos="567"/>
        </w:tabs>
        <w:spacing w:before="120" w:after="120" w:line="360" w:lineRule="auto"/>
        <w:ind w:firstLineChars="0"/>
        <w:outlineLvl w:val="1"/>
        <w:rPr>
          <w:rFonts w:ascii="Times New Roman" w:hAnsi="Times New Roman" w:eastAsia="宋体" w:cs="Times New Roman"/>
          <w:b/>
          <w:bCs/>
          <w:sz w:val="30"/>
          <w:szCs w:val="32"/>
        </w:rPr>
      </w:pPr>
      <w:bookmarkStart w:id="15" w:name="_Toc15516"/>
      <w:bookmarkStart w:id="16" w:name="_Toc9809"/>
      <w:r>
        <w:rPr>
          <w:rFonts w:hint="eastAsia" w:ascii="Times New Roman" w:hAnsi="Times New Roman" w:eastAsia="宋体" w:cs="Times New Roman"/>
          <w:b/>
          <w:bCs/>
          <w:sz w:val="30"/>
          <w:szCs w:val="32"/>
        </w:rPr>
        <w:t>查看投标人名单</w:t>
      </w:r>
      <w:bookmarkEnd w:id="15"/>
      <w:bookmarkEnd w:id="16"/>
    </w:p>
    <w:p>
      <w:pPr>
        <w:spacing w:line="360" w:lineRule="auto"/>
        <w:ind w:firstLine="420" w:firstLineChars="200"/>
        <w:jc w:val="left"/>
        <w:rPr>
          <w:rFonts w:ascii="Times New Roman" w:hAnsi="Times New Roman" w:eastAsia="宋体" w:cs="Times New Roman"/>
          <w:szCs w:val="24"/>
        </w:rPr>
      </w:pPr>
      <w:r>
        <w:rPr>
          <w:rFonts w:hint="eastAsia" w:ascii="Times New Roman" w:hAnsi="Times New Roman" w:eastAsia="宋体" w:cs="Times New Roman"/>
          <w:bCs/>
          <w:szCs w:val="24"/>
          <w:lang w:val="en-US" w:eastAsia="zh-CN"/>
        </w:rPr>
        <w:t>招标代理公布</w:t>
      </w:r>
      <w:r>
        <w:rPr>
          <w:rFonts w:hint="eastAsia" w:ascii="Times New Roman" w:hAnsi="Times New Roman" w:eastAsia="宋体" w:cs="Times New Roman"/>
          <w:bCs/>
          <w:szCs w:val="24"/>
        </w:rPr>
        <w:t>投标人</w:t>
      </w:r>
      <w:r>
        <w:rPr>
          <w:rFonts w:hint="eastAsia" w:ascii="Times New Roman" w:hAnsi="Times New Roman" w:eastAsia="宋体" w:cs="Times New Roman"/>
          <w:bCs/>
          <w:szCs w:val="24"/>
          <w:lang w:val="en-US" w:eastAsia="zh-CN"/>
        </w:rPr>
        <w:t>投标情况后，无需投标人操作</w:t>
      </w:r>
      <w:r>
        <w:rPr>
          <w:rFonts w:hint="eastAsia" w:ascii="Times New Roman" w:hAnsi="Times New Roman" w:eastAsia="宋体" w:cs="Times New Roman"/>
          <w:bCs/>
          <w:szCs w:val="24"/>
        </w:rPr>
        <w:t>查看投标人名单</w:t>
      </w:r>
      <w:r>
        <w:rPr>
          <w:rFonts w:hint="eastAsia" w:ascii="Times New Roman" w:hAnsi="Times New Roman" w:eastAsia="宋体" w:cs="Times New Roman"/>
          <w:bCs/>
          <w:szCs w:val="24"/>
          <w:lang w:val="en-US" w:eastAsia="zh-CN"/>
        </w:rPr>
        <w:t>即可</w:t>
      </w:r>
      <w:r>
        <w:rPr>
          <w:rFonts w:ascii="Times New Roman" w:hAnsi="Times New Roman" w:eastAsia="宋体" w:cs="Times New Roman"/>
          <w:szCs w:val="24"/>
        </w:rPr>
        <w:t>。</w:t>
      </w:r>
    </w:p>
    <w:p>
      <w:pPr>
        <w:spacing w:line="360" w:lineRule="auto"/>
        <w:jc w:val="left"/>
        <w:rPr>
          <w:rFonts w:hint="eastAsia" w:ascii="Times New Roman" w:hAnsi="Times New Roman" w:eastAsia="宋体" w:cs="Times New Roman"/>
          <w:szCs w:val="24"/>
        </w:rPr>
      </w:pPr>
      <w:r>
        <w:drawing>
          <wp:inline distT="0" distB="0" distL="0" distR="0">
            <wp:extent cx="5274310" cy="2258060"/>
            <wp:effectExtent l="0" t="0" r="2540" b="889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58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/>
        <w:keepLines/>
        <w:tabs>
          <w:tab w:val="left" w:pos="567"/>
        </w:tabs>
        <w:spacing w:before="120" w:after="120" w:line="360" w:lineRule="auto"/>
        <w:ind w:left="425"/>
        <w:outlineLvl w:val="1"/>
        <w:rPr>
          <w:rFonts w:ascii="Times New Roman" w:hAnsi="Times New Roman" w:eastAsia="宋体" w:cs="Times New Roman"/>
          <w:b/>
          <w:bCs/>
          <w:sz w:val="30"/>
          <w:szCs w:val="32"/>
        </w:rPr>
      </w:pPr>
      <w:bookmarkStart w:id="17" w:name="_Toc19717"/>
      <w:bookmarkStart w:id="18" w:name="_Toc15397"/>
      <w:r>
        <w:rPr>
          <w:rFonts w:hint="eastAsia" w:ascii="Times New Roman" w:hAnsi="Times New Roman" w:eastAsia="宋体" w:cs="Times New Roman"/>
          <w:b/>
          <w:bCs/>
          <w:sz w:val="30"/>
          <w:szCs w:val="32"/>
        </w:rPr>
        <w:t>3.7投标人解密</w:t>
      </w:r>
      <w:bookmarkEnd w:id="17"/>
      <w:bookmarkEnd w:id="18"/>
    </w:p>
    <w:p>
      <w:pPr>
        <w:spacing w:line="360" w:lineRule="auto"/>
        <w:ind w:firstLine="420" w:firstLineChars="200"/>
        <w:jc w:val="left"/>
        <w:rPr>
          <w:rFonts w:ascii="Times New Roman" w:hAnsi="Times New Roman" w:eastAsia="宋体" w:cs="Times New Roman"/>
          <w:bCs/>
          <w:szCs w:val="24"/>
        </w:rPr>
      </w:pPr>
      <w:r>
        <w:rPr>
          <w:rFonts w:hint="eastAsia" w:ascii="Times New Roman" w:hAnsi="Times New Roman" w:eastAsia="宋体" w:cs="Times New Roman"/>
          <w:bCs/>
          <w:szCs w:val="24"/>
          <w:lang w:val="en-US" w:eastAsia="zh-CN"/>
        </w:rPr>
        <w:t>招标代理</w:t>
      </w:r>
      <w:r>
        <w:rPr>
          <w:rFonts w:hint="eastAsia" w:ascii="Times New Roman" w:hAnsi="Times New Roman" w:eastAsia="宋体" w:cs="Times New Roman"/>
          <w:bCs/>
          <w:szCs w:val="24"/>
        </w:rPr>
        <w:t>开启解密</w:t>
      </w:r>
      <w:r>
        <w:rPr>
          <w:rFonts w:hint="eastAsia" w:ascii="Times New Roman" w:hAnsi="Times New Roman" w:eastAsia="宋体" w:cs="Times New Roman"/>
          <w:bCs/>
          <w:szCs w:val="24"/>
          <w:lang w:val="en-US" w:eastAsia="zh-CN"/>
        </w:rPr>
        <w:t>后，</w:t>
      </w:r>
      <w:r>
        <w:rPr>
          <w:rFonts w:hint="eastAsia" w:ascii="Times New Roman" w:hAnsi="Times New Roman" w:eastAsia="宋体" w:cs="Times New Roman"/>
          <w:bCs/>
          <w:szCs w:val="24"/>
        </w:rPr>
        <w:t>投标人</w:t>
      </w:r>
      <w:r>
        <w:rPr>
          <w:rFonts w:hint="eastAsia" w:ascii="Times New Roman" w:hAnsi="Times New Roman" w:eastAsia="宋体" w:cs="Times New Roman"/>
          <w:bCs/>
          <w:szCs w:val="24"/>
          <w:lang w:val="en-US" w:eastAsia="zh-CN"/>
        </w:rPr>
        <w:t>进行</w:t>
      </w:r>
      <w:r>
        <w:rPr>
          <w:rFonts w:hint="eastAsia" w:ascii="Times New Roman" w:hAnsi="Times New Roman" w:eastAsia="宋体" w:cs="Times New Roman"/>
          <w:bCs/>
          <w:szCs w:val="24"/>
        </w:rPr>
        <w:t>解密</w:t>
      </w:r>
      <w:r>
        <w:rPr>
          <w:rFonts w:hint="eastAsia" w:ascii="Times New Roman" w:hAnsi="Times New Roman" w:eastAsia="宋体" w:cs="Times New Roman"/>
          <w:bCs/>
          <w:szCs w:val="24"/>
          <w:lang w:eastAsia="zh-CN"/>
        </w:rPr>
        <w:t>。</w:t>
      </w:r>
    </w:p>
    <w:p>
      <w:pPr>
        <w:spacing w:line="360" w:lineRule="auto"/>
        <w:ind w:firstLine="420" w:firstLineChars="200"/>
        <w:jc w:val="left"/>
        <w:rPr>
          <w:rFonts w:hint="default" w:ascii="Times New Roman" w:hAnsi="Times New Roman" w:eastAsia="宋体" w:cs="Times New Roman"/>
          <w:color w:val="FF0000"/>
          <w:szCs w:val="24"/>
          <w:lang w:val="en-US" w:eastAsia="zh-CN"/>
        </w:rPr>
      </w:pPr>
      <w:r>
        <w:rPr>
          <w:rFonts w:hint="eastAsia" w:ascii="Times New Roman" w:hAnsi="Times New Roman" w:eastAsia="宋体" w:cs="Times New Roman"/>
          <w:color w:val="FF0000"/>
          <w:szCs w:val="24"/>
        </w:rPr>
        <w:t>注：1、解密的使用的电脑必须安装新点驱动（湖南版），并且驱动检测必须检测通过才能正常解密。</w:t>
      </w:r>
      <w:r>
        <w:rPr>
          <w:rFonts w:hint="eastAsia" w:ascii="Times New Roman" w:hAnsi="Times New Roman" w:eastAsia="宋体" w:cs="Times New Roman"/>
          <w:color w:val="FF0000"/>
          <w:szCs w:val="24"/>
          <w:lang w:val="en-US" w:eastAsia="zh-CN"/>
        </w:rPr>
        <w:t>建议使用制作投标文件的电脑进行解密，能够稳定生成投标文件说明系统驱动正常，直接用于开标，电脑系统环境相对稳定。</w:t>
      </w:r>
    </w:p>
    <w:p>
      <w:pPr>
        <w:spacing w:line="360" w:lineRule="auto"/>
        <w:ind w:firstLine="420" w:firstLineChars="200"/>
        <w:jc w:val="left"/>
        <w:rPr>
          <w:rFonts w:hint="eastAsia" w:ascii="Times New Roman" w:hAnsi="Times New Roman" w:eastAsia="宋体" w:cs="Times New Roman"/>
          <w:color w:val="FF0000"/>
          <w:szCs w:val="24"/>
        </w:rPr>
      </w:pPr>
      <w:r>
        <w:rPr>
          <w:rFonts w:hint="eastAsia" w:ascii="Times New Roman" w:hAnsi="Times New Roman" w:eastAsia="宋体" w:cs="Times New Roman"/>
          <w:color w:val="FF0000"/>
          <w:szCs w:val="24"/>
        </w:rPr>
        <w:t>2、解密所用的CA锁必须是生成投标文件用的CA锁，否则无法解密，产生的后果投标人自行承担。</w:t>
      </w:r>
    </w:p>
    <w:p>
      <w:pPr>
        <w:numPr>
          <w:ilvl w:val="0"/>
          <w:numId w:val="5"/>
        </w:numPr>
        <w:spacing w:line="360" w:lineRule="auto"/>
        <w:ind w:firstLine="420" w:firstLineChars="200"/>
        <w:jc w:val="left"/>
        <w:rPr>
          <w:rFonts w:ascii="Times New Roman" w:hAnsi="Times New Roman" w:eastAsia="宋体" w:cs="Times New Roman"/>
          <w:szCs w:val="24"/>
        </w:rPr>
      </w:pPr>
      <w:r>
        <w:rPr>
          <w:rFonts w:hint="eastAsia" w:ascii="Times New Roman" w:hAnsi="Times New Roman" w:eastAsia="宋体" w:cs="Times New Roman"/>
          <w:szCs w:val="24"/>
        </w:rPr>
        <w:t>在解密时间内插入CA锁，输入密码，进行解密；务必在规定时间内完成解密</w:t>
      </w:r>
      <w:r>
        <w:rPr>
          <w:rFonts w:hint="eastAsia" w:ascii="Times New Roman" w:hAnsi="Times New Roman" w:eastAsia="宋体" w:cs="Times New Roman"/>
          <w:szCs w:val="24"/>
          <w:lang w:val="en-US" w:eastAsia="zh-CN"/>
        </w:rPr>
        <w:t>（参与多包项目投标时，应分别进入各包进行投标文件解密）</w:t>
      </w:r>
      <w:r>
        <w:rPr>
          <w:rFonts w:hint="eastAsia" w:ascii="Times New Roman" w:hAnsi="Times New Roman" w:eastAsia="宋体" w:cs="Times New Roman"/>
          <w:szCs w:val="24"/>
        </w:rPr>
        <w:t>。解密时间已到不可解密；</w:t>
      </w:r>
      <w:r>
        <w:rPr>
          <w:rFonts w:ascii="Times New Roman" w:hAnsi="Times New Roman" w:eastAsia="宋体" w:cs="Times New Roman"/>
          <w:szCs w:val="24"/>
        </w:rPr>
        <w:t>请提前准备好CA锁</w:t>
      </w:r>
      <w:r>
        <w:rPr>
          <w:rFonts w:hint="eastAsia" w:ascii="Times New Roman" w:hAnsi="Times New Roman" w:eastAsia="宋体" w:cs="Times New Roman"/>
          <w:szCs w:val="24"/>
        </w:rPr>
        <w:t>。</w:t>
      </w:r>
    </w:p>
    <w:p>
      <w:pPr>
        <w:spacing w:line="360" w:lineRule="auto"/>
        <w:ind w:firstLine="420" w:firstLineChars="200"/>
        <w:jc w:val="left"/>
        <w:rPr>
          <w:rFonts w:hint="eastAsia" w:ascii="Times New Roman" w:hAnsi="Times New Roman" w:eastAsia="宋体" w:cs="Times New Roman"/>
          <w:color w:val="FF0000"/>
          <w:szCs w:val="24"/>
          <w:lang w:val="en-US" w:eastAsia="zh-CN"/>
        </w:rPr>
      </w:pPr>
      <w:r>
        <w:rPr>
          <w:rFonts w:hint="eastAsia" w:ascii="Times New Roman" w:hAnsi="Times New Roman" w:eastAsia="宋体" w:cs="Times New Roman"/>
          <w:color w:val="FF0000"/>
          <w:szCs w:val="24"/>
          <w:lang w:val="en-US" w:eastAsia="zh-CN"/>
        </w:rPr>
        <w:t>注：1.未在规定的时间内解密投标文件的，视同放弃投标。</w:t>
      </w:r>
    </w:p>
    <w:p>
      <w:pPr>
        <w:spacing w:line="360" w:lineRule="auto"/>
        <w:ind w:firstLine="840" w:firstLineChars="400"/>
        <w:jc w:val="left"/>
        <w:rPr>
          <w:rFonts w:hint="eastAsia" w:ascii="Times New Roman" w:hAnsi="Times New Roman" w:eastAsia="宋体" w:cs="Times New Roman"/>
          <w:color w:val="FF0000"/>
          <w:szCs w:val="24"/>
          <w:lang w:val="en-US" w:eastAsia="zh-CN"/>
        </w:rPr>
      </w:pPr>
      <w:r>
        <w:rPr>
          <w:rFonts w:hint="eastAsia" w:ascii="Times New Roman" w:hAnsi="Times New Roman" w:eastAsia="宋体" w:cs="Times New Roman"/>
          <w:color w:val="FF0000"/>
          <w:szCs w:val="24"/>
          <w:lang w:val="en-US" w:eastAsia="zh-CN"/>
        </w:rPr>
        <w:t>2.解密时未使用加密时使用的CA数字证书解密文件或CA数字证书过期的，将无法完成投标文件解密。</w:t>
      </w:r>
    </w:p>
    <w:p>
      <w:pPr>
        <w:spacing w:line="360" w:lineRule="auto"/>
        <w:jc w:val="left"/>
        <w:rPr>
          <w:rFonts w:ascii="Times New Roman" w:hAnsi="Times New Roman" w:eastAsia="宋体" w:cs="Times New Roman"/>
          <w:szCs w:val="24"/>
        </w:rPr>
      </w:pPr>
      <w:r>
        <w:rPr>
          <w:rFonts w:ascii="Times New Roman" w:hAnsi="Times New Roman" w:eastAsia="宋体" w:cs="Times New Roman"/>
          <w:szCs w:val="24"/>
        </w:rPr>
        <w:drawing>
          <wp:inline distT="0" distB="0" distL="0" distR="0">
            <wp:extent cx="5242560" cy="2948940"/>
            <wp:effectExtent l="0" t="0" r="0" b="3810"/>
            <wp:docPr id="199" name="图片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图片 19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42560" cy="294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5"/>
        </w:numPr>
        <w:spacing w:line="360" w:lineRule="auto"/>
        <w:ind w:firstLine="420" w:firstLineChars="200"/>
        <w:jc w:val="left"/>
        <w:rPr>
          <w:rFonts w:ascii="Times New Roman" w:hAnsi="Times New Roman" w:eastAsia="宋体" w:cs="Times New Roman"/>
          <w:szCs w:val="24"/>
        </w:rPr>
      </w:pPr>
      <w:r>
        <w:rPr>
          <w:rFonts w:hint="eastAsia" w:ascii="Times New Roman" w:hAnsi="Times New Roman" w:eastAsia="宋体" w:cs="Times New Roman"/>
          <w:szCs w:val="24"/>
        </w:rPr>
        <w:t>解密成功的单位的图标变为绿色开锁图标；当前单位只会显示</w:t>
      </w:r>
      <w:r>
        <w:rPr>
          <w:rFonts w:hint="eastAsia" w:ascii="Times New Roman" w:hAnsi="Times New Roman" w:eastAsia="宋体" w:cs="Times New Roman"/>
          <w:b/>
          <w:color w:val="FF0000"/>
          <w:sz w:val="28"/>
          <w:szCs w:val="28"/>
        </w:rPr>
        <w:t>“我的投标文件”</w:t>
      </w:r>
    </w:p>
    <w:p>
      <w:pPr>
        <w:spacing w:line="360" w:lineRule="auto"/>
        <w:jc w:val="left"/>
        <w:rPr>
          <w:rFonts w:ascii="Times New Roman" w:hAnsi="Times New Roman" w:eastAsia="宋体" w:cs="Times New Roman"/>
          <w:szCs w:val="24"/>
        </w:rPr>
      </w:pPr>
      <w:r>
        <w:rPr>
          <w:rFonts w:ascii="Times New Roman" w:hAnsi="Times New Roman" w:eastAsia="宋体" w:cs="Times New Roman"/>
          <w:szCs w:val="24"/>
        </w:rPr>
        <w:drawing>
          <wp:inline distT="0" distB="0" distL="0" distR="0">
            <wp:extent cx="5242560" cy="2948940"/>
            <wp:effectExtent l="0" t="0" r="0" b="3810"/>
            <wp:docPr id="198" name="图片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图片 19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42560" cy="294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/>
        <w:keepLines/>
        <w:tabs>
          <w:tab w:val="left" w:pos="567"/>
        </w:tabs>
        <w:spacing w:before="120" w:after="120" w:line="360" w:lineRule="auto"/>
        <w:ind w:firstLine="301" w:firstLineChars="100"/>
        <w:outlineLvl w:val="1"/>
        <w:rPr>
          <w:rFonts w:ascii="Times New Roman" w:hAnsi="Times New Roman" w:eastAsia="宋体" w:cs="Times New Roman"/>
          <w:b/>
          <w:bCs/>
          <w:sz w:val="30"/>
          <w:szCs w:val="32"/>
        </w:rPr>
      </w:pPr>
      <w:bookmarkStart w:id="19" w:name="_Toc23632"/>
      <w:r>
        <w:rPr>
          <w:rFonts w:hint="eastAsia" w:ascii="Times New Roman" w:hAnsi="Times New Roman" w:eastAsia="宋体" w:cs="Times New Roman"/>
          <w:b/>
          <w:bCs/>
          <w:sz w:val="30"/>
          <w:szCs w:val="32"/>
        </w:rPr>
        <w:t>3.8唱标</w:t>
      </w:r>
      <w:bookmarkEnd w:id="19"/>
    </w:p>
    <w:p>
      <w:pPr>
        <w:spacing w:line="360" w:lineRule="auto"/>
        <w:ind w:firstLine="420" w:firstLineChars="200"/>
        <w:jc w:val="left"/>
        <w:rPr>
          <w:rFonts w:hint="eastAsia" w:ascii="Times New Roman" w:hAnsi="Times New Roman" w:eastAsia="宋体" w:cs="Times New Roman"/>
          <w:szCs w:val="24"/>
        </w:rPr>
      </w:pPr>
      <w:r>
        <w:rPr>
          <w:rFonts w:hint="eastAsia" w:ascii="Times New Roman" w:hAnsi="Times New Roman" w:eastAsia="宋体" w:cs="Times New Roman"/>
          <w:szCs w:val="24"/>
        </w:rPr>
        <w:t>观看</w:t>
      </w:r>
      <w:r>
        <w:rPr>
          <w:rFonts w:hint="eastAsia" w:ascii="Times New Roman" w:hAnsi="Times New Roman" w:eastAsia="宋体" w:cs="Times New Roman"/>
          <w:szCs w:val="24"/>
          <w:lang w:val="en-US" w:eastAsia="zh-CN"/>
        </w:rPr>
        <w:t>公布的信息</w:t>
      </w:r>
      <w:r>
        <w:rPr>
          <w:rFonts w:hint="eastAsia" w:ascii="Times New Roman" w:hAnsi="Times New Roman" w:eastAsia="宋体" w:cs="Times New Roman"/>
          <w:szCs w:val="24"/>
        </w:rPr>
        <w:t>，有异议可点击“开标异议语音提问”或者“开启异议文字提问”方式提出异议</w:t>
      </w:r>
      <w:r>
        <w:rPr>
          <w:rFonts w:hint="eastAsia" w:ascii="Times New Roman" w:hAnsi="Times New Roman" w:eastAsia="宋体" w:cs="Times New Roman"/>
          <w:szCs w:val="24"/>
          <w:lang w:eastAsia="zh-CN"/>
        </w:rPr>
        <w:t>，</w:t>
      </w:r>
      <w:r>
        <w:rPr>
          <w:rFonts w:hint="eastAsia" w:ascii="宋体" w:hAnsi="宋体" w:cs="宋体"/>
          <w:b w:val="0"/>
          <w:bCs/>
          <w:i w:val="0"/>
          <w:color w:val="auto"/>
          <w:sz w:val="21"/>
          <w:szCs w:val="21"/>
          <w:highlight w:val="none"/>
          <w:u w:val="none"/>
          <w:lang w:val="en-US" w:eastAsia="zh-CN"/>
        </w:rPr>
        <w:t>未提出视同无异议</w:t>
      </w:r>
      <w:r>
        <w:rPr>
          <w:rFonts w:hint="eastAsia" w:ascii="Times New Roman" w:hAnsi="Times New Roman" w:eastAsia="宋体" w:cs="Times New Roman"/>
          <w:szCs w:val="24"/>
        </w:rPr>
        <w:t>；</w:t>
      </w:r>
    </w:p>
    <w:p>
      <w:pPr>
        <w:keepNext/>
        <w:keepLines/>
        <w:tabs>
          <w:tab w:val="left" w:pos="567"/>
        </w:tabs>
        <w:spacing w:before="120" w:after="120" w:line="360" w:lineRule="auto"/>
        <w:ind w:firstLine="301" w:firstLineChars="100"/>
        <w:outlineLvl w:val="1"/>
        <w:rPr>
          <w:rFonts w:ascii="Times New Roman" w:hAnsi="Times New Roman" w:eastAsia="宋体" w:cs="Times New Roman"/>
          <w:b/>
          <w:bCs/>
          <w:sz w:val="30"/>
          <w:szCs w:val="32"/>
        </w:rPr>
      </w:pPr>
      <w:bookmarkStart w:id="20" w:name="_Toc14148"/>
      <w:bookmarkStart w:id="21" w:name="_Toc17678"/>
      <w:r>
        <w:rPr>
          <w:rFonts w:hint="eastAsia" w:ascii="Times New Roman" w:hAnsi="Times New Roman" w:eastAsia="宋体" w:cs="Times New Roman"/>
          <w:b/>
          <w:bCs/>
          <w:sz w:val="30"/>
          <w:szCs w:val="32"/>
        </w:rPr>
        <w:t>3.9语音异议</w:t>
      </w:r>
      <w:bookmarkEnd w:id="20"/>
      <w:bookmarkEnd w:id="21"/>
    </w:p>
    <w:p>
      <w:pPr>
        <w:spacing w:line="360" w:lineRule="auto"/>
        <w:ind w:firstLine="420" w:firstLineChars="200"/>
        <w:jc w:val="left"/>
        <w:rPr>
          <w:rFonts w:ascii="Times New Roman" w:hAnsi="Times New Roman" w:eastAsia="宋体" w:cs="Times New Roman"/>
          <w:bCs/>
          <w:szCs w:val="24"/>
        </w:rPr>
      </w:pPr>
      <w:r>
        <w:rPr>
          <w:rFonts w:ascii="Times New Roman" w:hAnsi="Times New Roman" w:eastAsia="宋体" w:cs="Times New Roman"/>
          <w:szCs w:val="24"/>
        </w:rPr>
        <w:t>公布投标人之后</w:t>
      </w:r>
      <w:r>
        <w:rPr>
          <w:rFonts w:hint="eastAsia" w:ascii="Times New Roman" w:hAnsi="Times New Roman" w:eastAsia="宋体" w:cs="Times New Roman"/>
          <w:bCs/>
          <w:szCs w:val="24"/>
        </w:rPr>
        <w:t>开标结束之前</w:t>
      </w:r>
      <w:r>
        <w:rPr>
          <w:rFonts w:ascii="Times New Roman" w:hAnsi="Times New Roman" w:eastAsia="宋体" w:cs="Times New Roman"/>
          <w:bCs/>
          <w:szCs w:val="24"/>
        </w:rPr>
        <w:t>。</w:t>
      </w:r>
      <w:r>
        <w:rPr>
          <w:rFonts w:hint="eastAsia" w:ascii="Times New Roman" w:hAnsi="Times New Roman" w:eastAsia="宋体" w:cs="Times New Roman"/>
          <w:bCs/>
          <w:szCs w:val="24"/>
        </w:rPr>
        <w:t>投标人在开标过程中可以通过语音提问给主持人提问</w:t>
      </w:r>
      <w:r>
        <w:rPr>
          <w:rFonts w:ascii="Times New Roman" w:hAnsi="Times New Roman" w:eastAsia="宋体" w:cs="Times New Roman"/>
          <w:bCs/>
          <w:szCs w:val="24"/>
        </w:rPr>
        <w:t>。</w:t>
      </w:r>
    </w:p>
    <w:p>
      <w:pPr>
        <w:numPr>
          <w:ilvl w:val="0"/>
          <w:numId w:val="6"/>
        </w:numPr>
        <w:spacing w:line="360" w:lineRule="auto"/>
        <w:ind w:firstLine="420" w:firstLineChars="200"/>
        <w:jc w:val="left"/>
        <w:rPr>
          <w:rFonts w:ascii="Times New Roman" w:hAnsi="Times New Roman" w:eastAsia="宋体" w:cs="Times New Roman"/>
          <w:szCs w:val="24"/>
        </w:rPr>
      </w:pPr>
      <w:r>
        <w:rPr>
          <w:rFonts w:hint="eastAsia" w:ascii="Times New Roman" w:hAnsi="Times New Roman" w:eastAsia="宋体" w:cs="Times New Roman"/>
          <w:szCs w:val="24"/>
        </w:rPr>
        <w:t>点击“开标异议语音提问”发起语音提问申请；</w:t>
      </w:r>
    </w:p>
    <w:p>
      <w:pPr>
        <w:spacing w:line="360" w:lineRule="auto"/>
        <w:jc w:val="left"/>
        <w:rPr>
          <w:rFonts w:ascii="Times New Roman" w:hAnsi="Times New Roman" w:eastAsia="宋体" w:cs="Times New Roman"/>
          <w:szCs w:val="24"/>
        </w:rPr>
      </w:pPr>
      <w:r>
        <w:drawing>
          <wp:inline distT="0" distB="0" distL="0" distR="0">
            <wp:extent cx="5274310" cy="2374265"/>
            <wp:effectExtent l="0" t="0" r="2540" b="698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4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6"/>
        </w:numPr>
        <w:spacing w:line="360" w:lineRule="auto"/>
        <w:ind w:firstLine="420" w:firstLineChars="200"/>
        <w:jc w:val="left"/>
        <w:rPr>
          <w:rFonts w:ascii="Times New Roman" w:hAnsi="Times New Roman" w:eastAsia="宋体" w:cs="Times New Roman"/>
          <w:szCs w:val="24"/>
        </w:rPr>
      </w:pPr>
      <w:r>
        <w:rPr>
          <w:rFonts w:hint="eastAsia" w:ascii="Times New Roman" w:hAnsi="Times New Roman" w:eastAsia="宋体" w:cs="Times New Roman"/>
          <w:szCs w:val="24"/>
        </w:rPr>
        <w:t>发起之后，按钮变为“取消当前提问”，在主持人未接通前可以取消，取消之后，或者主持人回答完毕之后可再次提问；</w:t>
      </w:r>
    </w:p>
    <w:p>
      <w:pPr>
        <w:spacing w:line="360" w:lineRule="auto"/>
        <w:jc w:val="left"/>
        <w:rPr>
          <w:rFonts w:ascii="Times New Roman" w:hAnsi="Times New Roman" w:eastAsia="宋体" w:cs="Times New Roman"/>
          <w:szCs w:val="24"/>
        </w:rPr>
      </w:pPr>
      <w:r>
        <w:drawing>
          <wp:inline distT="0" distB="0" distL="0" distR="0">
            <wp:extent cx="5274310" cy="2289175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89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/>
        <w:keepLines/>
        <w:tabs>
          <w:tab w:val="left" w:pos="567"/>
        </w:tabs>
        <w:spacing w:before="120" w:after="120" w:line="360" w:lineRule="auto"/>
        <w:ind w:firstLine="301" w:firstLineChars="100"/>
        <w:outlineLvl w:val="1"/>
        <w:rPr>
          <w:rFonts w:ascii="Times New Roman" w:hAnsi="Times New Roman" w:eastAsia="宋体" w:cs="Times New Roman"/>
          <w:b/>
          <w:bCs/>
          <w:sz w:val="30"/>
          <w:szCs w:val="32"/>
        </w:rPr>
      </w:pPr>
      <w:bookmarkStart w:id="22" w:name="_Toc9350"/>
      <w:r>
        <w:rPr>
          <w:rFonts w:hint="eastAsia" w:ascii="Times New Roman" w:hAnsi="Times New Roman" w:eastAsia="宋体" w:cs="Times New Roman"/>
          <w:b/>
          <w:bCs/>
          <w:sz w:val="30"/>
          <w:szCs w:val="32"/>
        </w:rPr>
        <w:t>3.10</w:t>
      </w:r>
      <w:r>
        <w:rPr>
          <w:rFonts w:ascii="Times New Roman" w:hAnsi="Times New Roman" w:eastAsia="宋体" w:cs="Times New Roman"/>
          <w:b/>
          <w:bCs/>
          <w:sz w:val="30"/>
          <w:szCs w:val="32"/>
        </w:rPr>
        <w:t>唱标确认</w:t>
      </w:r>
      <w:bookmarkEnd w:id="22"/>
    </w:p>
    <w:p>
      <w:pPr>
        <w:spacing w:line="360" w:lineRule="auto"/>
        <w:ind w:firstLine="420" w:firstLineChars="200"/>
        <w:jc w:val="left"/>
        <w:rPr>
          <w:rFonts w:ascii="Times New Roman" w:hAnsi="Times New Roman" w:eastAsia="宋体" w:cs="Times New Roman"/>
          <w:szCs w:val="24"/>
        </w:rPr>
      </w:pPr>
      <w:r>
        <w:rPr>
          <w:rFonts w:hint="eastAsia" w:ascii="Times New Roman" w:hAnsi="Times New Roman" w:eastAsia="宋体" w:cs="Times New Roman"/>
          <w:szCs w:val="24"/>
        </w:rPr>
        <w:t>唱标完成开标结束之前。投标人对唱标信息进行确认。</w:t>
      </w:r>
    </w:p>
    <w:p>
      <w:pPr>
        <w:ind w:firstLine="420"/>
        <w:rPr>
          <w:rFonts w:hint="eastAsia"/>
          <w:b/>
          <w:color w:val="FF0000"/>
        </w:rPr>
      </w:pPr>
      <w:r>
        <w:t>主持人发起唱标确认</w:t>
      </w:r>
      <w:r>
        <w:rPr>
          <w:rFonts w:hint="eastAsia"/>
        </w:rPr>
        <w:t>指令</w:t>
      </w:r>
      <w:r>
        <w:t>之后</w:t>
      </w:r>
      <w:r>
        <w:rPr>
          <w:rFonts w:hint="eastAsia"/>
        </w:rPr>
        <w:t>，</w:t>
      </w:r>
      <w:r>
        <w:t>投标人页面会弹出唱标确认提示</w:t>
      </w:r>
      <w:r>
        <w:rPr>
          <w:rFonts w:hint="eastAsia"/>
        </w:rPr>
        <w:t>，</w:t>
      </w:r>
      <w:r>
        <w:t>在倒计时结束前点击确认</w:t>
      </w:r>
      <w:r>
        <w:rPr>
          <w:rFonts w:hint="eastAsia"/>
        </w:rPr>
        <w:t>，</w:t>
      </w:r>
      <w:r>
        <w:t>如倒计时完成后未确认的</w:t>
      </w:r>
      <w:r>
        <w:rPr>
          <w:rFonts w:hint="eastAsia"/>
        </w:rPr>
        <w:t>，</w:t>
      </w:r>
      <w:r>
        <w:rPr>
          <w:rFonts w:hint="eastAsia"/>
          <w:b/>
          <w:color w:val="FF0000"/>
        </w:rPr>
        <w:t>系统设置</w:t>
      </w:r>
      <w:r>
        <w:rPr>
          <w:b/>
          <w:color w:val="FF0000"/>
        </w:rPr>
        <w:t>为</w:t>
      </w:r>
      <w:r>
        <w:rPr>
          <w:rFonts w:hint="eastAsia"/>
          <w:b/>
          <w:color w:val="FF0000"/>
        </w:rPr>
        <w:t>默认</w:t>
      </w:r>
      <w:r>
        <w:rPr>
          <w:b/>
          <w:color w:val="FF0000"/>
        </w:rPr>
        <w:t>确认</w:t>
      </w:r>
      <w:r>
        <w:rPr>
          <w:rFonts w:hint="eastAsia"/>
        </w:rPr>
        <w:t>。</w:t>
      </w:r>
      <w:r>
        <w:rPr>
          <w:rFonts w:hint="eastAsia"/>
          <w:b/>
          <w:color w:val="FF0000"/>
        </w:rPr>
        <w:t>倒计时长：5分钟。</w:t>
      </w:r>
    </w:p>
    <w:p>
      <w:pPr>
        <w:spacing w:line="360" w:lineRule="auto"/>
        <w:ind w:firstLine="420" w:firstLineChars="200"/>
        <w:jc w:val="left"/>
        <w:rPr>
          <w:rFonts w:hint="eastAsia"/>
          <w:b/>
          <w:color w:val="FF0000"/>
        </w:rPr>
      </w:pPr>
      <w:r>
        <w:rPr>
          <w:rFonts w:hint="eastAsia" w:ascii="Times New Roman" w:hAnsi="Times New Roman" w:eastAsia="宋体" w:cs="Times New Roman"/>
          <w:color w:val="FF0000"/>
          <w:szCs w:val="24"/>
          <w:lang w:val="en-US" w:eastAsia="zh-CN"/>
        </w:rPr>
        <w:t>注：招标代理发起唱标确认后，投标人应在5分钟内对唱标内容进行确认。系统弹窗提示，投标人未在5分钟内确认的，默认无异议。</w:t>
      </w:r>
    </w:p>
    <w:p>
      <w:r>
        <w:drawing>
          <wp:inline distT="0" distB="0" distL="0" distR="0">
            <wp:extent cx="5274310" cy="2381885"/>
            <wp:effectExtent l="0" t="0" r="2540" b="0"/>
            <wp:docPr id="215" name="图片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" name="图片 21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/>
        <w:keepLines/>
        <w:tabs>
          <w:tab w:val="left" w:pos="567"/>
        </w:tabs>
        <w:spacing w:before="120" w:after="120" w:line="360" w:lineRule="auto"/>
        <w:ind w:firstLine="301" w:firstLineChars="100"/>
        <w:outlineLvl w:val="1"/>
        <w:rPr>
          <w:rFonts w:ascii="Times New Roman" w:hAnsi="Times New Roman" w:eastAsia="宋体" w:cs="Times New Roman"/>
          <w:b/>
          <w:bCs/>
          <w:sz w:val="30"/>
          <w:szCs w:val="32"/>
        </w:rPr>
      </w:pPr>
      <w:bookmarkStart w:id="23" w:name="_Toc16205"/>
      <w:bookmarkStart w:id="24" w:name="_Toc6321"/>
      <w:r>
        <w:rPr>
          <w:rFonts w:hint="eastAsia" w:ascii="Times New Roman" w:hAnsi="Times New Roman" w:eastAsia="宋体" w:cs="Times New Roman"/>
          <w:b/>
          <w:bCs/>
          <w:sz w:val="30"/>
          <w:szCs w:val="32"/>
        </w:rPr>
        <w:t>3.11开标结束</w:t>
      </w:r>
      <w:bookmarkEnd w:id="23"/>
      <w:bookmarkEnd w:id="24"/>
    </w:p>
    <w:p>
      <w:pPr>
        <w:spacing w:line="360" w:lineRule="auto"/>
        <w:ind w:firstLine="420" w:firstLineChars="200"/>
        <w:jc w:val="left"/>
        <w:rPr>
          <w:rFonts w:ascii="Times New Roman" w:hAnsi="Times New Roman" w:eastAsia="宋体" w:cs="Times New Roman"/>
          <w:szCs w:val="24"/>
        </w:rPr>
      </w:pPr>
      <w:r>
        <w:rPr>
          <w:rFonts w:hint="eastAsia" w:ascii="Times New Roman" w:hAnsi="Times New Roman" w:eastAsia="宋体" w:cs="Times New Roman"/>
          <w:szCs w:val="24"/>
        </w:rPr>
        <w:t>投标单位可查看、下载开标一览表，</w:t>
      </w:r>
      <w:r>
        <w:rPr>
          <w:rFonts w:hint="eastAsia" w:ascii="Times New Roman" w:hAnsi="Times New Roman" w:eastAsia="宋体" w:cs="Times New Roman"/>
          <w:szCs w:val="24"/>
          <w:lang w:val="en-US" w:eastAsia="zh-CN"/>
        </w:rPr>
        <w:t>右上角点击返回，退出开标大厅，结束开标。</w:t>
      </w:r>
    </w:p>
    <w:p>
      <w:pPr>
        <w:spacing w:line="360" w:lineRule="auto"/>
        <w:jc w:val="left"/>
        <w:rPr>
          <w:rFonts w:ascii="Times New Roman" w:hAnsi="Times New Roman" w:eastAsia="宋体" w:cs="Times New Roman"/>
          <w:szCs w:val="24"/>
        </w:rPr>
      </w:pPr>
      <w:r>
        <w:drawing>
          <wp:inline distT="0" distB="0" distL="0" distR="0">
            <wp:extent cx="5274310" cy="2304415"/>
            <wp:effectExtent l="0" t="0" r="2540" b="635"/>
            <wp:docPr id="216" name="图片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图片 21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0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erReference r:id="rId5" w:type="default"/>
      <w:pgSz w:w="11906" w:h="16838"/>
      <w:pgMar w:top="1440" w:right="1800" w:bottom="1440" w:left="1800" w:header="851" w:footer="992" w:gutter="0"/>
      <w:pgNumType w:fmt="decimal"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auto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6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right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uow4Kz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6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3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jc w:val="both"/>
      <w:rPr>
        <w:rFonts w:hint="eastAsia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11B7B88"/>
    <w:multiLevelType w:val="singleLevel"/>
    <w:tmpl w:val="811B7B88"/>
    <w:lvl w:ilvl="0" w:tentative="0">
      <w:start w:val="1"/>
      <w:numFmt w:val="decimal"/>
      <w:suff w:val="space"/>
      <w:lvlText w:val="%1、"/>
      <w:lvlJc w:val="left"/>
    </w:lvl>
  </w:abstractNum>
  <w:abstractNum w:abstractNumId="1">
    <w:nsid w:val="B8CF6A8C"/>
    <w:multiLevelType w:val="singleLevel"/>
    <w:tmpl w:val="B8CF6A8C"/>
    <w:lvl w:ilvl="0" w:tentative="0">
      <w:start w:val="1"/>
      <w:numFmt w:val="decimal"/>
      <w:suff w:val="nothing"/>
      <w:lvlText w:val="%1、"/>
      <w:lvlJc w:val="left"/>
    </w:lvl>
  </w:abstractNum>
  <w:abstractNum w:abstractNumId="2">
    <w:nsid w:val="0579512A"/>
    <w:multiLevelType w:val="multilevel"/>
    <w:tmpl w:val="0579512A"/>
    <w:lvl w:ilvl="0" w:tentative="0">
      <w:start w:val="1"/>
      <w:numFmt w:val="chineseCounting"/>
      <w:suff w:val="nothing"/>
      <w:lvlText w:val="%1、"/>
      <w:lvlJc w:val="left"/>
      <w:pPr>
        <w:ind w:left="0" w:firstLine="400"/>
      </w:pPr>
      <w:rPr>
        <w:rFonts w:hint="eastAsia"/>
      </w:rPr>
    </w:lvl>
    <w:lvl w:ilvl="1" w:tentative="0">
      <w:start w:val="1"/>
      <w:numFmt w:val="decimal"/>
      <w:suff w:val="nothing"/>
      <w:lvlText w:val="%2．"/>
      <w:lvlJc w:val="left"/>
      <w:pPr>
        <w:ind w:left="0" w:firstLine="400"/>
      </w:pPr>
      <w:rPr>
        <w:rFonts w:hint="eastAsia"/>
      </w:rPr>
    </w:lvl>
    <w:lvl w:ilvl="2" w:tentative="0">
      <w:start w:val="1"/>
      <w:numFmt w:val="decimal"/>
      <w:suff w:val="nothing"/>
      <w:lvlText w:val="（%3）"/>
      <w:lvlJc w:val="left"/>
      <w:pPr>
        <w:ind w:left="0" w:firstLine="402"/>
      </w:pPr>
      <w:rPr>
        <w:rFonts w:hint="eastAsia"/>
      </w:rPr>
    </w:lvl>
    <w:lvl w:ilvl="3" w:tentative="0">
      <w:start w:val="1"/>
      <w:numFmt w:val="decimalEnclosedCircleChinese"/>
      <w:suff w:val="nothing"/>
      <w:lvlText w:val="%4 "/>
      <w:lvlJc w:val="left"/>
      <w:pPr>
        <w:ind w:left="0" w:firstLine="402"/>
      </w:pPr>
      <w:rPr>
        <w:rFonts w:hint="eastAsia"/>
      </w:rPr>
    </w:lvl>
    <w:lvl w:ilvl="4" w:tentative="0">
      <w:start w:val="1"/>
      <w:numFmt w:val="decimal"/>
      <w:suff w:val="nothing"/>
      <w:lvlText w:val="%5）"/>
      <w:lvlJc w:val="left"/>
      <w:pPr>
        <w:ind w:left="0" w:firstLine="402"/>
      </w:pPr>
      <w:rPr>
        <w:rFonts w:hint="eastAsia"/>
      </w:rPr>
    </w:lvl>
    <w:lvl w:ilvl="5" w:tentative="0">
      <w:start w:val="1"/>
      <w:numFmt w:val="lowerLetter"/>
      <w:suff w:val="nothing"/>
      <w:lvlText w:val="%6．"/>
      <w:lvlJc w:val="left"/>
      <w:pPr>
        <w:ind w:left="0" w:firstLine="402"/>
      </w:pPr>
      <w:rPr>
        <w:rFonts w:hint="eastAsia"/>
      </w:rPr>
    </w:lvl>
    <w:lvl w:ilvl="6" w:tentative="0">
      <w:start w:val="1"/>
      <w:numFmt w:val="lowerLetter"/>
      <w:suff w:val="nothing"/>
      <w:lvlText w:val="%7）"/>
      <w:lvlJc w:val="left"/>
      <w:pPr>
        <w:ind w:left="0" w:firstLine="402"/>
      </w:pPr>
      <w:rPr>
        <w:rFonts w:hint="eastAsia"/>
      </w:rPr>
    </w:lvl>
    <w:lvl w:ilvl="7" w:tentative="0">
      <w:start w:val="1"/>
      <w:numFmt w:val="lowerRoman"/>
      <w:suff w:val="nothing"/>
      <w:lvlText w:val="%8. "/>
      <w:lvlJc w:val="left"/>
      <w:pPr>
        <w:ind w:left="0" w:firstLine="402"/>
      </w:pPr>
      <w:rPr>
        <w:rFonts w:hint="eastAsia"/>
      </w:rPr>
    </w:lvl>
    <w:lvl w:ilvl="8" w:tentative="0">
      <w:start w:val="1"/>
      <w:numFmt w:val="lowerRoman"/>
      <w:suff w:val="nothing"/>
      <w:lvlText w:val="%9）"/>
      <w:lvlJc w:val="left"/>
      <w:pPr>
        <w:ind w:left="0" w:firstLine="402"/>
      </w:pPr>
      <w:rPr>
        <w:rFonts w:hint="eastAsia"/>
      </w:rPr>
    </w:lvl>
  </w:abstractNum>
  <w:abstractNum w:abstractNumId="3">
    <w:nsid w:val="0FE9633F"/>
    <w:multiLevelType w:val="singleLevel"/>
    <w:tmpl w:val="0FE9633F"/>
    <w:lvl w:ilvl="0" w:tentative="0">
      <w:start w:val="1"/>
      <w:numFmt w:val="decimal"/>
      <w:suff w:val="nothing"/>
      <w:lvlText w:val="%1、"/>
      <w:lvlJc w:val="left"/>
    </w:lvl>
  </w:abstractNum>
  <w:abstractNum w:abstractNumId="4">
    <w:nsid w:val="46735E41"/>
    <w:multiLevelType w:val="multilevel"/>
    <w:tmpl w:val="46735E41"/>
    <w:lvl w:ilvl="0" w:tentative="0">
      <w:start w:val="3"/>
      <w:numFmt w:val="decimal"/>
      <w:lvlText w:val="%1"/>
      <w:lvlJc w:val="left"/>
      <w:pPr>
        <w:ind w:left="384" w:hanging="384"/>
      </w:pPr>
      <w:rPr>
        <w:rFonts w:hint="default"/>
      </w:rPr>
    </w:lvl>
    <w:lvl w:ilvl="1" w:tentative="0">
      <w:start w:val="1"/>
      <w:numFmt w:val="decimal"/>
      <w:lvlText w:val="%1.%2"/>
      <w:lvlJc w:val="left"/>
      <w:pPr>
        <w:ind w:left="1145" w:hanging="720"/>
      </w:pPr>
      <w:rPr>
        <w:rFonts w:hint="default"/>
      </w:rPr>
    </w:lvl>
    <w:lvl w:ilvl="2" w:tentative="0">
      <w:start w:val="1"/>
      <w:numFmt w:val="decimal"/>
      <w:lvlText w:val="%1.%2.%3"/>
      <w:lvlJc w:val="left"/>
      <w:pPr>
        <w:ind w:left="1570" w:hanging="720"/>
      </w:pPr>
      <w:rPr>
        <w:rFonts w:hint="default"/>
      </w:rPr>
    </w:lvl>
    <w:lvl w:ilvl="3" w:tentative="0">
      <w:start w:val="1"/>
      <w:numFmt w:val="decimal"/>
      <w:lvlText w:val="%1.%2.%3.%4"/>
      <w:lvlJc w:val="left"/>
      <w:pPr>
        <w:ind w:left="2355" w:hanging="1080"/>
      </w:pPr>
      <w:rPr>
        <w:rFonts w:hint="default"/>
      </w:rPr>
    </w:lvl>
    <w:lvl w:ilvl="4" w:tentative="0">
      <w:start w:val="1"/>
      <w:numFmt w:val="decimal"/>
      <w:lvlText w:val="%1.%2.%3.%4.%5"/>
      <w:lvlJc w:val="left"/>
      <w:pPr>
        <w:ind w:left="2780" w:hanging="1080"/>
      </w:pPr>
      <w:rPr>
        <w:rFonts w:hint="default"/>
      </w:rPr>
    </w:lvl>
    <w:lvl w:ilvl="5" w:tentative="0">
      <w:start w:val="1"/>
      <w:numFmt w:val="decimal"/>
      <w:lvlText w:val="%1.%2.%3.%4.%5.%6"/>
      <w:lvlJc w:val="left"/>
      <w:pPr>
        <w:ind w:left="3565" w:hanging="1440"/>
      </w:pPr>
      <w:rPr>
        <w:rFonts w:hint="default"/>
      </w:rPr>
    </w:lvl>
    <w:lvl w:ilvl="6" w:tentative="0">
      <w:start w:val="1"/>
      <w:numFmt w:val="decimal"/>
      <w:lvlText w:val="%1.%2.%3.%4.%5.%6.%7"/>
      <w:lvlJc w:val="left"/>
      <w:pPr>
        <w:ind w:left="4350" w:hanging="1800"/>
      </w:pPr>
      <w:rPr>
        <w:rFonts w:hint="default"/>
      </w:rPr>
    </w:lvl>
    <w:lvl w:ilvl="7" w:tentative="0">
      <w:start w:val="1"/>
      <w:numFmt w:val="decimal"/>
      <w:lvlText w:val="%1.%2.%3.%4.%5.%6.%7.%8"/>
      <w:lvlJc w:val="left"/>
      <w:pPr>
        <w:ind w:left="4775" w:hanging="1800"/>
      </w:pPr>
      <w:rPr>
        <w:rFonts w:hint="default"/>
      </w:rPr>
    </w:lvl>
    <w:lvl w:ilvl="8" w:tentative="0">
      <w:start w:val="1"/>
      <w:numFmt w:val="decimal"/>
      <w:lvlText w:val="%1.%2.%3.%4.%5.%6.%7.%8.%9"/>
      <w:lvlJc w:val="left"/>
      <w:pPr>
        <w:ind w:left="5560" w:hanging="2160"/>
      </w:pPr>
      <w:rPr>
        <w:rFonts w:hint="default"/>
      </w:rPr>
    </w:lvl>
  </w:abstractNum>
  <w:abstractNum w:abstractNumId="5">
    <w:nsid w:val="4E6D15E7"/>
    <w:multiLevelType w:val="singleLevel"/>
    <w:tmpl w:val="4E6D15E7"/>
    <w:lvl w:ilvl="0" w:tentative="0">
      <w:start w:val="1"/>
      <w:numFmt w:val="decimal"/>
      <w:suff w:val="space"/>
      <w:lvlText w:val="%1、"/>
      <w:lvlJc w:val="left"/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3"/>
  </w:num>
  <w:num w:numId="5">
    <w:abstractNumId w:val="5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WVjYThiY2M0NTJiMzNjNzFlZWFlNzAzOWZmNTYxZjUifQ=="/>
  </w:docVars>
  <w:rsids>
    <w:rsidRoot w:val="002141FB"/>
    <w:rsid w:val="000954E3"/>
    <w:rsid w:val="00095754"/>
    <w:rsid w:val="000A26D5"/>
    <w:rsid w:val="000E5055"/>
    <w:rsid w:val="000F6F39"/>
    <w:rsid w:val="00100CEB"/>
    <w:rsid w:val="0010436D"/>
    <w:rsid w:val="0010750C"/>
    <w:rsid w:val="00115CE3"/>
    <w:rsid w:val="00162E75"/>
    <w:rsid w:val="001853E6"/>
    <w:rsid w:val="00193585"/>
    <w:rsid w:val="001F56F9"/>
    <w:rsid w:val="00212D2D"/>
    <w:rsid w:val="002141FB"/>
    <w:rsid w:val="00232358"/>
    <w:rsid w:val="00252C3F"/>
    <w:rsid w:val="0027051D"/>
    <w:rsid w:val="00275148"/>
    <w:rsid w:val="002801EF"/>
    <w:rsid w:val="002A6B83"/>
    <w:rsid w:val="002C2048"/>
    <w:rsid w:val="002C782C"/>
    <w:rsid w:val="002F507A"/>
    <w:rsid w:val="00305D5B"/>
    <w:rsid w:val="00343F34"/>
    <w:rsid w:val="00353BE7"/>
    <w:rsid w:val="00370883"/>
    <w:rsid w:val="00392999"/>
    <w:rsid w:val="003B3D80"/>
    <w:rsid w:val="003C58B3"/>
    <w:rsid w:val="003E611C"/>
    <w:rsid w:val="00401B22"/>
    <w:rsid w:val="00424400"/>
    <w:rsid w:val="00432A5A"/>
    <w:rsid w:val="00455D7D"/>
    <w:rsid w:val="00457FA8"/>
    <w:rsid w:val="004601CF"/>
    <w:rsid w:val="00485486"/>
    <w:rsid w:val="004923E6"/>
    <w:rsid w:val="004B0222"/>
    <w:rsid w:val="004C567D"/>
    <w:rsid w:val="004D6FB3"/>
    <w:rsid w:val="004F4D56"/>
    <w:rsid w:val="00544419"/>
    <w:rsid w:val="00544D16"/>
    <w:rsid w:val="0056388E"/>
    <w:rsid w:val="0056575C"/>
    <w:rsid w:val="00571BC9"/>
    <w:rsid w:val="00597BF4"/>
    <w:rsid w:val="005A260F"/>
    <w:rsid w:val="005B738B"/>
    <w:rsid w:val="005E2EB6"/>
    <w:rsid w:val="00602AA4"/>
    <w:rsid w:val="00605514"/>
    <w:rsid w:val="00606DA4"/>
    <w:rsid w:val="006168FA"/>
    <w:rsid w:val="00617A39"/>
    <w:rsid w:val="00697B1E"/>
    <w:rsid w:val="006A7B7A"/>
    <w:rsid w:val="006E4633"/>
    <w:rsid w:val="00702D07"/>
    <w:rsid w:val="007123BA"/>
    <w:rsid w:val="00724E51"/>
    <w:rsid w:val="0073759B"/>
    <w:rsid w:val="00763D5C"/>
    <w:rsid w:val="00797449"/>
    <w:rsid w:val="007A649B"/>
    <w:rsid w:val="007B0BD9"/>
    <w:rsid w:val="007E4102"/>
    <w:rsid w:val="007F2CF3"/>
    <w:rsid w:val="008179A3"/>
    <w:rsid w:val="008359C7"/>
    <w:rsid w:val="00841F47"/>
    <w:rsid w:val="00876AA8"/>
    <w:rsid w:val="00884330"/>
    <w:rsid w:val="00891925"/>
    <w:rsid w:val="008A0406"/>
    <w:rsid w:val="008A407F"/>
    <w:rsid w:val="008C66E1"/>
    <w:rsid w:val="008D20AB"/>
    <w:rsid w:val="008D63EF"/>
    <w:rsid w:val="008F0813"/>
    <w:rsid w:val="00947CDC"/>
    <w:rsid w:val="00985FD5"/>
    <w:rsid w:val="009A7AB8"/>
    <w:rsid w:val="009B4B5A"/>
    <w:rsid w:val="009C2490"/>
    <w:rsid w:val="009C265D"/>
    <w:rsid w:val="00A11294"/>
    <w:rsid w:val="00A26AA3"/>
    <w:rsid w:val="00A671E9"/>
    <w:rsid w:val="00AA4D3F"/>
    <w:rsid w:val="00AD12C7"/>
    <w:rsid w:val="00AD3BB8"/>
    <w:rsid w:val="00B34EE7"/>
    <w:rsid w:val="00BC62CF"/>
    <w:rsid w:val="00BD2036"/>
    <w:rsid w:val="00BE74EC"/>
    <w:rsid w:val="00BF6BDD"/>
    <w:rsid w:val="00C05B14"/>
    <w:rsid w:val="00C13A10"/>
    <w:rsid w:val="00C23B3D"/>
    <w:rsid w:val="00C27B24"/>
    <w:rsid w:val="00C3053A"/>
    <w:rsid w:val="00C4502C"/>
    <w:rsid w:val="00C457D4"/>
    <w:rsid w:val="00C7297A"/>
    <w:rsid w:val="00C90241"/>
    <w:rsid w:val="00CC58B8"/>
    <w:rsid w:val="00CE612D"/>
    <w:rsid w:val="00CE7B45"/>
    <w:rsid w:val="00D23034"/>
    <w:rsid w:val="00D24BBD"/>
    <w:rsid w:val="00D349C5"/>
    <w:rsid w:val="00D350CD"/>
    <w:rsid w:val="00D45385"/>
    <w:rsid w:val="00D574CE"/>
    <w:rsid w:val="00D85C5C"/>
    <w:rsid w:val="00DB32CF"/>
    <w:rsid w:val="00DE540F"/>
    <w:rsid w:val="00E80098"/>
    <w:rsid w:val="00EB7E44"/>
    <w:rsid w:val="00EC0828"/>
    <w:rsid w:val="00EF7724"/>
    <w:rsid w:val="00FB3432"/>
    <w:rsid w:val="00FC43AC"/>
    <w:rsid w:val="00FC4AE3"/>
    <w:rsid w:val="091C09E5"/>
    <w:rsid w:val="092F61FA"/>
    <w:rsid w:val="13587054"/>
    <w:rsid w:val="173E5DE7"/>
    <w:rsid w:val="1D116479"/>
    <w:rsid w:val="20461A3D"/>
    <w:rsid w:val="21CC6AC2"/>
    <w:rsid w:val="2C6A0362"/>
    <w:rsid w:val="2C704DA3"/>
    <w:rsid w:val="36216628"/>
    <w:rsid w:val="3907267F"/>
    <w:rsid w:val="3C1D2F19"/>
    <w:rsid w:val="488167F4"/>
    <w:rsid w:val="4ABC313C"/>
    <w:rsid w:val="501F3CEE"/>
    <w:rsid w:val="57FB5D50"/>
    <w:rsid w:val="5D395C6B"/>
    <w:rsid w:val="64DC4A2F"/>
    <w:rsid w:val="6D1762E3"/>
    <w:rsid w:val="6FFD1F90"/>
    <w:rsid w:val="72202C17"/>
    <w:rsid w:val="7F2C10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0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qFormat="1"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5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1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toc 3"/>
    <w:basedOn w:val="1"/>
    <w:next w:val="1"/>
    <w:semiHidden/>
    <w:unhideWhenUsed/>
    <w:qFormat/>
    <w:uiPriority w:val="39"/>
    <w:pPr>
      <w:ind w:left="840" w:leftChars="400"/>
    </w:pPr>
  </w:style>
  <w:style w:type="paragraph" w:styleId="5">
    <w:name w:val="Balloon Text"/>
    <w:basedOn w:val="1"/>
    <w:link w:val="13"/>
    <w:semiHidden/>
    <w:unhideWhenUsed/>
    <w:qFormat/>
    <w:uiPriority w:val="99"/>
    <w:rPr>
      <w:sz w:val="18"/>
      <w:szCs w:val="18"/>
    </w:rPr>
  </w:style>
  <w:style w:type="paragraph" w:styleId="6">
    <w:name w:val="footer"/>
    <w:basedOn w:val="1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7">
    <w:name w:val="header"/>
    <w:basedOn w:val="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toc 1"/>
    <w:basedOn w:val="1"/>
    <w:next w:val="1"/>
    <w:semiHidden/>
    <w:unhideWhenUsed/>
    <w:uiPriority w:val="39"/>
  </w:style>
  <w:style w:type="paragraph" w:styleId="9">
    <w:name w:val="toc 2"/>
    <w:basedOn w:val="1"/>
    <w:next w:val="1"/>
    <w:semiHidden/>
    <w:unhideWhenUsed/>
    <w:uiPriority w:val="39"/>
    <w:pPr>
      <w:ind w:left="420" w:leftChars="200"/>
    </w:pPr>
  </w:style>
  <w:style w:type="character" w:styleId="12">
    <w:name w:val="Hyperlink"/>
    <w:basedOn w:val="11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3">
    <w:name w:val="批注框文本 Char"/>
    <w:basedOn w:val="11"/>
    <w:link w:val="5"/>
    <w:semiHidden/>
    <w:qFormat/>
    <w:uiPriority w:val="99"/>
    <w:rPr>
      <w:sz w:val="18"/>
      <w:szCs w:val="18"/>
    </w:rPr>
  </w:style>
  <w:style w:type="paragraph" w:styleId="14">
    <w:name w:val="List Paragraph"/>
    <w:basedOn w:val="1"/>
    <w:qFormat/>
    <w:uiPriority w:val="34"/>
    <w:pPr>
      <w:ind w:firstLine="420" w:firstLineChars="200"/>
    </w:pPr>
  </w:style>
  <w:style w:type="character" w:customStyle="1" w:styleId="15">
    <w:name w:val="标题 1 Char"/>
    <w:basedOn w:val="11"/>
    <w:link w:val="2"/>
    <w:qFormat/>
    <w:uiPriority w:val="9"/>
    <w:rPr>
      <w:b/>
      <w:bCs/>
      <w:kern w:val="44"/>
      <w:sz w:val="44"/>
      <w:szCs w:val="44"/>
    </w:rPr>
  </w:style>
  <w:style w:type="paragraph" w:customStyle="1" w:styleId="16">
    <w:name w:val="WPSOffice手动目录 1"/>
    <w:qFormat/>
    <w:uiPriority w:val="0"/>
    <w:pPr>
      <w:ind w:leftChars="0"/>
    </w:pPr>
    <w:rPr>
      <w:rFonts w:asciiTheme="minorHAnsi" w:hAnsiTheme="minorHAnsi" w:eastAsiaTheme="minorEastAsia" w:cstheme="minorBidi"/>
      <w:sz w:val="20"/>
      <w:szCs w:val="20"/>
    </w:rPr>
  </w:style>
  <w:style w:type="paragraph" w:customStyle="1" w:styleId="17">
    <w:name w:val="WPSOffice手动目录 2"/>
    <w:qFormat/>
    <w:uiPriority w:val="0"/>
    <w:pPr>
      <w:ind w:leftChars="200"/>
    </w:pPr>
    <w:rPr>
      <w:rFonts w:asciiTheme="minorHAnsi" w:hAnsiTheme="minorHAnsi" w:eastAsiaTheme="minorEastAsia" w:cstheme="minorBidi"/>
      <w:sz w:val="20"/>
      <w:szCs w:val="20"/>
    </w:rPr>
  </w:style>
  <w:style w:type="paragraph" w:customStyle="1" w:styleId="18">
    <w:name w:val="WPSOffice手动目录 3"/>
    <w:qFormat/>
    <w:uiPriority w:val="0"/>
    <w:pPr>
      <w:ind w:leftChars="400"/>
    </w:pPr>
    <w:rPr>
      <w:rFonts w:asciiTheme="minorHAnsi" w:hAnsiTheme="minorHAnsi" w:eastAsiaTheme="minorEastAsia" w:cstheme="minorBidi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1" Type="http://schemas.openxmlformats.org/officeDocument/2006/relationships/fontTable" Target="fontTable.xml"/><Relationship Id="rId30" Type="http://schemas.openxmlformats.org/officeDocument/2006/relationships/numbering" Target="numbering.xml"/><Relationship Id="rId3" Type="http://schemas.openxmlformats.org/officeDocument/2006/relationships/header" Target="header1.xml"/><Relationship Id="rId29" Type="http://schemas.openxmlformats.org/officeDocument/2006/relationships/customXml" Target="../customXml/item1.xml"/><Relationship Id="rId28" Type="http://schemas.openxmlformats.org/officeDocument/2006/relationships/image" Target="media/image22.png"/><Relationship Id="rId27" Type="http://schemas.openxmlformats.org/officeDocument/2006/relationships/image" Target="media/image21.png"/><Relationship Id="rId26" Type="http://schemas.openxmlformats.org/officeDocument/2006/relationships/image" Target="media/image20.png"/><Relationship Id="rId25" Type="http://schemas.openxmlformats.org/officeDocument/2006/relationships/image" Target="media/image19.png"/><Relationship Id="rId24" Type="http://schemas.openxmlformats.org/officeDocument/2006/relationships/image" Target="media/image18.png"/><Relationship Id="rId23" Type="http://schemas.openxmlformats.org/officeDocument/2006/relationships/image" Target="media/image17.png"/><Relationship Id="rId22" Type="http://schemas.openxmlformats.org/officeDocument/2006/relationships/image" Target="media/image16.png"/><Relationship Id="rId21" Type="http://schemas.openxmlformats.org/officeDocument/2006/relationships/image" Target="media/image15.pn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12</Pages>
  <Words>1819</Words>
  <Characters>1963</Characters>
  <Lines>18</Lines>
  <Paragraphs>5</Paragraphs>
  <TotalTime>0</TotalTime>
  <ScaleCrop>false</ScaleCrop>
  <LinksUpToDate>false</LinksUpToDate>
  <CharactersWithSpaces>2108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2019-11-01T10:27:00Z</dcterms:created>
  <dc:creator>刘一 </dc:creator>
  <cp:lastModifiedBy>高阳</cp:lastModifiedBy>
  <dcterms:modified xsi:type="dcterms:W3CDTF">2023-02-20T02:57:09Z</dcterms:modified>
  <cp:revision>185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B5495780A5A345CC946F10A93805BF80</vt:lpwstr>
  </property>
</Properties>
</file>