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湖南省工程建设项目（公路）造价清标规则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V1.0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page"/>
      </w:r>
      <w:bookmarkStart w:id="12" w:name="_GoBack"/>
      <w:bookmarkEnd w:id="12"/>
    </w:p>
    <w:p>
      <w:pPr>
        <w:rPr>
          <w:rFonts w:hint="eastAsia"/>
          <w:lang w:val="en-US" w:eastAsia="zh-CN"/>
        </w:rPr>
      </w:pPr>
    </w:p>
    <w:p>
      <w:pPr>
        <w:keepNext/>
        <w:keepLines/>
        <w:widowControl w:val="0"/>
        <w:snapToGrid w:val="0"/>
        <w:spacing w:before="0" w:line="48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</w:pPr>
      <w:bookmarkStart w:id="0" w:name="_Toc7187156"/>
      <w:bookmarkStart w:id="1" w:name="_Toc7187011"/>
      <w:bookmarkStart w:id="2" w:name="_Toc5727599"/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  <w:t>清标检查</w:t>
      </w:r>
      <w:bookmarkEnd w:id="0"/>
      <w:bookmarkEnd w:id="1"/>
      <w:bookmarkEnd w:id="2"/>
    </w:p>
    <w:p>
      <w:pPr>
        <w:keepNext/>
        <w:keepLines/>
        <w:widowControl w:val="0"/>
        <w:adjustRightInd w:val="0"/>
        <w:snapToGrid w:val="0"/>
        <w:spacing w:before="156" w:beforeLines="50" w:after="156" w:afterLines="50" w:line="360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3" w:name="_Toc7187157"/>
      <w:bookmarkStart w:id="4" w:name="_Toc5727600"/>
      <w:bookmarkStart w:id="5" w:name="_Toc7187012"/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>1.1</w:t>
      </w:r>
      <w:bookmarkEnd w:id="3"/>
      <w:bookmarkEnd w:id="4"/>
      <w:bookmarkEnd w:id="5"/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>符合性检查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ab/>
      </w:r>
    </w:p>
    <w:p>
      <w:pPr>
        <w:keepNext/>
        <w:keepLines/>
        <w:widowControl w:val="0"/>
        <w:adjustRightInd w:val="0"/>
        <w:snapToGrid w:val="0"/>
        <w:spacing w:before="156" w:beforeLines="50"/>
        <w:jc w:val="both"/>
        <w:outlineLvl w:val="2"/>
        <w:rPr>
          <w:rFonts w:ascii="Times New Roman" w:hAnsi="Times New Roman" w:eastAsia="宋体" w:cs="Times New Roman"/>
          <w:kern w:val="0"/>
          <w:sz w:val="21"/>
          <w:szCs w:val="28"/>
          <w:lang w:val="en-US" w:eastAsia="zh-CN" w:bidi="ar-SA"/>
        </w:rPr>
      </w:pPr>
      <w:bookmarkStart w:id="6" w:name="_Toc5727602"/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1.1.1项目分段中的项目分段Id、项目分段名称必须与招标文件工程量清单一致，不一致用红色标记并在状态栏中描述，展示及检查项应包括表1.1.1的内容。</w:t>
      </w:r>
    </w:p>
    <w:p>
      <w:pPr>
        <w:jc w:val="center"/>
        <w:rPr>
          <w:rFonts w:hint="default" w:cs="Times New Roman" w:asciiTheme="minorEastAsia" w:hAnsiTheme="minorEastAsia" w:eastAsiaTheme="minorEastAsia"/>
          <w:b/>
          <w:lang w:val="en-US"/>
        </w:rPr>
      </w:pPr>
      <w:r>
        <w:rPr>
          <w:rFonts w:hint="eastAsia" w:cs="Times New Roman" w:asciiTheme="minorEastAsia" w:hAnsiTheme="minorEastAsia" w:eastAsiaTheme="minorEastAsia"/>
          <w:b/>
        </w:rPr>
        <w:t>表</w:t>
      </w:r>
      <w:r>
        <w:rPr>
          <w:rFonts w:hint="eastAsia" w:cs="Times New Roman" w:asciiTheme="minorEastAsia" w:hAnsiTheme="minorEastAsia"/>
          <w:b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b/>
        </w:rPr>
        <w:t>.1.</w:t>
      </w:r>
      <w:r>
        <w:rPr>
          <w:rFonts w:hint="eastAsia" w:cs="Times New Roman" w:asciiTheme="minorEastAsia" w:hAnsiTheme="minorEastAsia"/>
          <w:b/>
          <w:lang w:val="en-US" w:eastAsia="zh-CN"/>
        </w:rPr>
        <w:t>1项目分段</w:t>
      </w:r>
    </w:p>
    <w:tbl>
      <w:tblPr>
        <w:tblStyle w:val="8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03"/>
        <w:gridCol w:w="339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61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03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标题</w:t>
            </w:r>
          </w:p>
        </w:tc>
        <w:tc>
          <w:tcPr>
            <w:tcW w:w="3390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数据来源</w:t>
            </w:r>
          </w:p>
        </w:tc>
        <w:tc>
          <w:tcPr>
            <w:tcW w:w="1756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比较事项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软雅黑" w:hAnsi="微软雅黑" w:eastAsia="微软雅黑" w:cs="Arial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</w:rPr>
              <w:t>1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项目分段Id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KeyId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投标文件与招标文件一致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微软雅黑" w:hAnsi="微软雅黑" w:eastAsia="微软雅黑" w:cs="Arial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项目分段名称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>
      <w:pPr>
        <w:ind w:firstLine="360" w:firstLineChars="200"/>
        <w:rPr>
          <w:rFonts w:eastAsia="宋体" w:cs="Times New Roman" w:asciiTheme="minorEastAsia" w:hAnsiTheme="minorEastAsia"/>
          <w:sz w:val="18"/>
        </w:rPr>
      </w:pPr>
      <w:r>
        <w:rPr>
          <w:rFonts w:hint="eastAsia" w:eastAsia="宋体" w:cs="Times New Roman" w:asciiTheme="minorEastAsia" w:hAnsiTheme="minorEastAsia"/>
          <w:sz w:val="18"/>
        </w:rPr>
        <w:t>注：数据来源：项目分段</w:t>
      </w:r>
      <w:r>
        <w:rPr>
          <w:rFonts w:eastAsia="宋体" w:cs="Times New Roman" w:asciiTheme="minorEastAsia" w:hAnsiTheme="minorEastAsia"/>
          <w:sz w:val="18"/>
        </w:rPr>
        <w:t>的元素名称</w:t>
      </w:r>
      <w:r>
        <w:rPr>
          <w:rFonts w:hint="eastAsia" w:eastAsia="宋体" w:cs="Times New Roman" w:asciiTheme="minorEastAsia" w:hAnsiTheme="minorEastAsia"/>
          <w:sz w:val="18"/>
        </w:rPr>
        <w:t>[EprjInfo]。</w:t>
      </w:r>
    </w:p>
    <w:p>
      <w:pPr>
        <w:keepNext/>
        <w:keepLines/>
        <w:widowControl w:val="0"/>
        <w:adjustRightInd w:val="0"/>
        <w:snapToGrid w:val="0"/>
        <w:spacing w:before="156" w:beforeLines="50"/>
        <w:jc w:val="both"/>
        <w:outlineLvl w:val="9"/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</w:pPr>
    </w:p>
    <w:p>
      <w:pPr>
        <w:keepNext/>
        <w:keepLines/>
        <w:widowControl w:val="0"/>
        <w:adjustRightInd w:val="0"/>
        <w:snapToGrid w:val="0"/>
        <w:spacing w:before="156" w:beforeLines="50"/>
        <w:jc w:val="both"/>
        <w:outlineLvl w:val="2"/>
        <w:rPr>
          <w:rFonts w:ascii="Times New Roman" w:hAnsi="Times New Roman" w:eastAsia="宋体" w:cs="Times New Roman"/>
          <w:kern w:val="0"/>
          <w:sz w:val="21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1.1.2</w:t>
      </w:r>
      <w:bookmarkEnd w:id="6"/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要素项目（清单）表中的</w:t>
      </w:r>
      <w:r>
        <w:rPr>
          <w:rFonts w:hint="eastAsia" w:ascii="宋体" w:hAnsi="宋体" w:eastAsia="宋体" w:cs="Times New Roman"/>
          <w:kern w:val="0"/>
          <w:szCs w:val="21"/>
        </w:rPr>
        <w:t>要素项目（清单）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Id、</w:t>
      </w:r>
      <w:r>
        <w:rPr>
          <w:rFonts w:hint="eastAsia" w:ascii="宋体" w:hAnsi="宋体" w:eastAsia="宋体" w:cs="Times New Roman"/>
          <w:kern w:val="0"/>
          <w:szCs w:val="21"/>
        </w:rPr>
        <w:t>要素项目（清单）编码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、</w:t>
      </w:r>
      <w:r>
        <w:rPr>
          <w:rFonts w:hint="eastAsia" w:ascii="宋体" w:hAnsi="宋体" w:eastAsia="宋体" w:cs="Times New Roman"/>
          <w:kern w:val="0"/>
          <w:szCs w:val="21"/>
        </w:rPr>
        <w:t>要素项目（清单）名称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、单位、数量必须与招标文件工程量清单一致，不一致用红色标记并在状态栏中描述，展示及检查项应包括表1.1.2的内容</w:t>
      </w:r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。</w:t>
      </w:r>
    </w:p>
    <w:p>
      <w:pPr>
        <w:jc w:val="center"/>
        <w:rPr>
          <w:rFonts w:cs="Times New Roman" w:asciiTheme="minorEastAsia" w:hAnsiTheme="minorEastAsia" w:eastAsiaTheme="minorEastAsia"/>
          <w:b/>
        </w:rPr>
      </w:pPr>
      <w:r>
        <w:rPr>
          <w:rFonts w:hint="eastAsia" w:cs="Times New Roman" w:asciiTheme="minorEastAsia" w:hAnsiTheme="minorEastAsia" w:eastAsiaTheme="minorEastAsia"/>
          <w:b/>
        </w:rPr>
        <w:t>表</w:t>
      </w:r>
      <w:r>
        <w:rPr>
          <w:rFonts w:hint="eastAsia" w:cs="Times New Roman" w:asciiTheme="minorEastAsia" w:hAnsiTheme="minorEastAsia"/>
          <w:b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b/>
        </w:rPr>
        <w:t>.1.</w:t>
      </w:r>
      <w:r>
        <w:rPr>
          <w:rFonts w:hint="eastAsia" w:cs="Times New Roman" w:asciiTheme="minorEastAsia" w:hAnsiTheme="minorEastAsia"/>
          <w:b/>
          <w:lang w:val="en-US" w:eastAsia="zh-CN"/>
        </w:rPr>
        <w:t>2要素项目（清单）表</w:t>
      </w:r>
    </w:p>
    <w:tbl>
      <w:tblPr>
        <w:tblStyle w:val="8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03"/>
        <w:gridCol w:w="339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61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03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标题</w:t>
            </w:r>
          </w:p>
        </w:tc>
        <w:tc>
          <w:tcPr>
            <w:tcW w:w="3390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数据来源</w:t>
            </w:r>
          </w:p>
        </w:tc>
        <w:tc>
          <w:tcPr>
            <w:tcW w:w="1756" w:type="dxa"/>
            <w:shd w:val="clear" w:color="auto" w:fill="BEBEBE" w:themeFill="background1" w:themeFillShade="BF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比较事项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要素项目（清单）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KeyId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投标文件与招标文件一致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要素项目（清单）编码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ListCode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要素项目（清单）名称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ListName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Unit</w:t>
            </w:r>
          </w:p>
        </w:tc>
        <w:tc>
          <w:tcPr>
            <w:tcW w:w="175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Num</w:t>
            </w:r>
          </w:p>
        </w:tc>
        <w:tc>
          <w:tcPr>
            <w:tcW w:w="1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7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503" w:type="dxa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状态</w:t>
            </w:r>
          </w:p>
        </w:tc>
        <w:tc>
          <w:tcPr>
            <w:tcW w:w="339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</w:tbl>
    <w:p>
      <w:pPr>
        <w:ind w:firstLine="360" w:firstLineChars="200"/>
        <w:rPr>
          <w:rFonts w:eastAsia="宋体" w:cs="Times New Roman" w:asciiTheme="minorEastAsia" w:hAnsiTheme="minorEastAsia"/>
          <w:sz w:val="18"/>
        </w:rPr>
      </w:pPr>
      <w:r>
        <w:rPr>
          <w:rFonts w:hint="eastAsia" w:eastAsia="宋体" w:cs="Times New Roman" w:asciiTheme="minorEastAsia" w:hAnsiTheme="minorEastAsia"/>
          <w:sz w:val="18"/>
        </w:rPr>
        <w:t>注：数据来源：要素项目（清单）表</w:t>
      </w:r>
      <w:r>
        <w:rPr>
          <w:rFonts w:eastAsia="宋体" w:cs="Times New Roman" w:asciiTheme="minorEastAsia" w:hAnsiTheme="minorEastAsia"/>
          <w:sz w:val="18"/>
        </w:rPr>
        <w:t>的元素名称</w:t>
      </w:r>
      <w:r>
        <w:rPr>
          <w:rFonts w:hint="eastAsia" w:eastAsia="宋体" w:cs="Times New Roman" w:asciiTheme="minorEastAsia" w:hAnsiTheme="minorEastAsia"/>
          <w:sz w:val="18"/>
        </w:rPr>
        <w:t>[Item]。</w:t>
      </w:r>
    </w:p>
    <w:p>
      <w:pPr>
        <w:keepNext/>
        <w:keepLines/>
        <w:widowControl w:val="0"/>
        <w:spacing w:before="156" w:beforeLines="50"/>
        <w:jc w:val="both"/>
        <w:outlineLvl w:val="9"/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</w:pPr>
      <w:bookmarkStart w:id="7" w:name="_Toc5727603"/>
    </w:p>
    <w:bookmarkEnd w:id="7"/>
    <w:p>
      <w:pPr>
        <w:keepNext/>
        <w:keepLines/>
        <w:widowControl w:val="0"/>
        <w:adjustRightInd w:val="0"/>
        <w:snapToGrid w:val="0"/>
        <w:spacing w:before="156" w:beforeLines="50" w:after="156" w:afterLines="50" w:line="360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8" w:name="_Toc5727618"/>
      <w:bookmarkStart w:id="9" w:name="_Toc7187013"/>
      <w:bookmarkStart w:id="10" w:name="_Toc7187158"/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>1.2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>计算性错误检查</w:t>
      </w:r>
      <w:bookmarkEnd w:id="8"/>
      <w:bookmarkEnd w:id="9"/>
      <w:bookmarkEnd w:id="10"/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/>
        <w:keepLines/>
        <w:widowControl w:val="0"/>
        <w:spacing w:before="156" w:beforeLines="50"/>
        <w:jc w:val="both"/>
        <w:outlineLvl w:val="2"/>
        <w:rPr>
          <w:rFonts w:ascii="Times New Roman" w:hAnsi="Times New Roman" w:eastAsia="宋体" w:cs="Times New Roman"/>
          <w:kern w:val="0"/>
          <w:sz w:val="21"/>
          <w:szCs w:val="28"/>
          <w:lang w:val="en-US" w:eastAsia="zh-CN" w:bidi="ar-SA"/>
        </w:rPr>
      </w:pPr>
      <w:bookmarkStart w:id="11" w:name="_Toc5727619"/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1.2.1</w:t>
      </w:r>
      <w:bookmarkEnd w:id="11"/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清单所有章节金额合计= 各章节金额相加，单个章节的金额=该章节下明细的金额相加。不相等，应标记红色、计算出偏差，并在状态栏中描述，展示及检查项应包括表1.2.1的内容。</w:t>
      </w: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表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</w:rPr>
        <w:t>.2.1要素项目（清单）表</w:t>
      </w:r>
    </w:p>
    <w:tbl>
      <w:tblPr>
        <w:tblStyle w:val="8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45"/>
        <w:gridCol w:w="3388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序号</w:t>
            </w:r>
          </w:p>
        </w:tc>
        <w:tc>
          <w:tcPr>
            <w:tcW w:w="264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标题</w:t>
            </w:r>
          </w:p>
        </w:tc>
        <w:tc>
          <w:tcPr>
            <w:tcW w:w="338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数据来源</w:t>
            </w:r>
          </w:p>
        </w:tc>
        <w:tc>
          <w:tcPr>
            <w:tcW w:w="241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比较事项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要素项目（清单）名称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ListName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金额和计算金额比对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金额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Sum</w:t>
            </w:r>
          </w:p>
        </w:tc>
        <w:tc>
          <w:tcPr>
            <w:tcW w:w="2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计算金额</w:t>
            </w:r>
          </w:p>
        </w:tc>
        <w:tc>
          <w:tcPr>
            <w:tcW w:w="33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偏差</w:t>
            </w:r>
          </w:p>
        </w:tc>
        <w:tc>
          <w:tcPr>
            <w:tcW w:w="33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41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</w:tbl>
    <w:p>
      <w:pPr>
        <w:ind w:left="706" w:leftChars="128" w:hanging="437" w:hangingChars="243"/>
        <w:rPr>
          <w:rFonts w:eastAsia="宋体" w:cs="Times New Roman" w:asciiTheme="minorEastAsia" w:hAnsiTheme="minorEastAsia"/>
          <w:sz w:val="18"/>
        </w:rPr>
      </w:pPr>
      <w:r>
        <w:rPr>
          <w:rFonts w:hint="eastAsia" w:eastAsia="宋体" w:cs="Times New Roman" w:asciiTheme="minorEastAsia" w:hAnsiTheme="minorEastAsia"/>
          <w:sz w:val="18"/>
        </w:rPr>
        <w:t>注：1数据来源：要素项目（清单）表</w:t>
      </w:r>
      <w:r>
        <w:rPr>
          <w:rFonts w:eastAsia="宋体" w:cs="Times New Roman" w:asciiTheme="minorEastAsia" w:hAnsiTheme="minorEastAsia"/>
          <w:sz w:val="18"/>
        </w:rPr>
        <w:t>的元素名称</w:t>
      </w:r>
      <w:r>
        <w:rPr>
          <w:rFonts w:hint="eastAsia" w:eastAsia="宋体" w:cs="Times New Roman" w:asciiTheme="minorEastAsia" w:hAnsiTheme="minorEastAsia"/>
          <w:sz w:val="18"/>
        </w:rPr>
        <w:t>[Item]。</w:t>
      </w:r>
    </w:p>
    <w:p>
      <w:pPr>
        <w:widowControl/>
        <w:adjustRightInd w:val="0"/>
        <w:snapToGrid w:val="0"/>
        <w:ind w:firstLine="630" w:firstLineChars="350"/>
        <w:rPr>
          <w:rFonts w:hint="default" w:eastAsia="宋体" w:cs="Times New Roman" w:asciiTheme="minorEastAsia" w:hAnsiTheme="minorEastAsia"/>
          <w:sz w:val="1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18"/>
        </w:rPr>
        <w:t>2计算规则：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清单所有章节金额合计（Item[FormulaCode=A]） = 各章节金额相加（Item[FormulaCode=A1、A2、A3...].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Sum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之和）</w:t>
      </w:r>
    </w:p>
    <w:p>
      <w:pPr>
        <w:ind w:left="427" w:firstLine="413"/>
        <w:rPr>
          <w:rFonts w:hint="eastAsia" w:eastAsia="宋体" w:cs="Times New Roman" w:asciiTheme="minorEastAsia" w:hAnsiTheme="minorEastAsia"/>
          <w:sz w:val="1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单个章节的金额（Item[FormulaCode=A1、A2、A3...].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Sum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） = 该章节下明细的金额相加（Item[FormulaCode=A1、A2、A3...]下最后一层清单项目的金额(Item.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Sum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)求和）</w:t>
      </w:r>
    </w:p>
    <w:p>
      <w:pPr>
        <w:ind w:left="427" w:firstLine="413"/>
        <w:rPr>
          <w:rFonts w:hint="eastAsia" w:eastAsia="宋体" w:cs="Times New Roman" w:asciiTheme="minorEastAsia" w:hAnsiTheme="minorEastAsia"/>
          <w:sz w:val="18"/>
          <w:lang w:val="en-US" w:eastAsia="zh-CN"/>
        </w:rPr>
      </w:pPr>
    </w:p>
    <w:p>
      <w:pPr>
        <w:keepNext/>
        <w:keepLines/>
        <w:widowControl w:val="0"/>
        <w:spacing w:before="156" w:beforeLines="50"/>
        <w:jc w:val="both"/>
        <w:outlineLvl w:val="2"/>
        <w:rPr>
          <w:rFonts w:hint="eastAsia" w:eastAsia="宋体" w:cs="Times New Roman" w:asciiTheme="minorEastAsia" w:hAnsiTheme="minorEastAsia"/>
          <w:sz w:val="1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8"/>
          <w:lang w:val="en-US" w:eastAsia="zh-CN" w:bidi="ar-SA"/>
        </w:rPr>
        <w:t>1.2.2清单项目合价=清单项目单价*数量（只检查最下面一层）。不相等，应标记红色、计算出偏差，并在状态栏中描述，展示及检查项应包括表1.2.1的内容。</w:t>
      </w: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表</w:t>
      </w:r>
      <w:r>
        <w:rPr>
          <w:rFonts w:hint="eastAsia" w:ascii="Times New Roman" w:hAnsi="Times New Roman" w:eastAsia="宋体" w:cs="Times New Roman"/>
          <w:b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</w:rPr>
        <w:t>.2.1要素项目（清单）表</w:t>
      </w:r>
    </w:p>
    <w:tbl>
      <w:tblPr>
        <w:tblStyle w:val="8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45"/>
        <w:gridCol w:w="3388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7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序号</w:t>
            </w:r>
          </w:p>
        </w:tc>
        <w:tc>
          <w:tcPr>
            <w:tcW w:w="264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标题</w:t>
            </w:r>
          </w:p>
        </w:tc>
        <w:tc>
          <w:tcPr>
            <w:tcW w:w="338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数据来源</w:t>
            </w:r>
          </w:p>
        </w:tc>
        <w:tc>
          <w:tcPr>
            <w:tcW w:w="2413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比较事项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要素项目（清单）名称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ListName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金额和计算金额比对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单价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Price</w:t>
            </w:r>
          </w:p>
        </w:tc>
        <w:tc>
          <w:tcPr>
            <w:tcW w:w="2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Num</w:t>
            </w:r>
          </w:p>
        </w:tc>
        <w:tc>
          <w:tcPr>
            <w:tcW w:w="2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金额</w:t>
            </w:r>
          </w:p>
        </w:tc>
        <w:tc>
          <w:tcPr>
            <w:tcW w:w="3388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kern w:val="0"/>
                <w:szCs w:val="21"/>
                <w:lang w:val="en-US" w:eastAsia="zh-CN"/>
              </w:rPr>
              <w:t>Sum</w:t>
            </w:r>
          </w:p>
        </w:tc>
        <w:tc>
          <w:tcPr>
            <w:tcW w:w="2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计算金额</w:t>
            </w:r>
          </w:p>
        </w:tc>
        <w:tc>
          <w:tcPr>
            <w:tcW w:w="33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微软雅黑" w:hAnsi="微软雅黑" w:eastAsia="微软雅黑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645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偏差</w:t>
            </w:r>
          </w:p>
        </w:tc>
        <w:tc>
          <w:tcPr>
            <w:tcW w:w="33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  <w:tc>
          <w:tcPr>
            <w:tcW w:w="241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微软雅黑" w:hAnsi="微软雅黑" w:eastAsia="微软雅黑" w:cs="Arial"/>
                <w:kern w:val="0"/>
                <w:szCs w:val="21"/>
              </w:rPr>
            </w:pPr>
          </w:p>
        </w:tc>
      </w:tr>
    </w:tbl>
    <w:p>
      <w:pPr>
        <w:rPr>
          <w:rFonts w:eastAsia="宋体" w:cs="Times New Roman" w:asciiTheme="minorEastAsia" w:hAnsiTheme="minorEastAsia"/>
          <w:sz w:val="18"/>
        </w:rPr>
      </w:pPr>
      <w:r>
        <w:rPr>
          <w:rFonts w:hint="eastAsia" w:eastAsia="宋体" w:cs="Times New Roman" w:asciiTheme="minorEastAsia" w:hAnsiTheme="minorEastAsia"/>
          <w:sz w:val="18"/>
        </w:rPr>
        <w:t>注：1数据来源：要素项目（清单）表</w:t>
      </w:r>
      <w:r>
        <w:rPr>
          <w:rFonts w:eastAsia="宋体" w:cs="Times New Roman" w:asciiTheme="minorEastAsia" w:hAnsiTheme="minorEastAsia"/>
          <w:sz w:val="18"/>
        </w:rPr>
        <w:t>的元素名称</w:t>
      </w:r>
      <w:r>
        <w:rPr>
          <w:rFonts w:hint="eastAsia" w:eastAsia="宋体" w:cs="Times New Roman" w:asciiTheme="minorEastAsia" w:hAnsiTheme="minorEastAsia"/>
          <w:sz w:val="18"/>
        </w:rPr>
        <w:t>[Item]。</w:t>
      </w:r>
    </w:p>
    <w:p>
      <w:pPr>
        <w:ind w:firstLine="360" w:firstLineChars="200"/>
        <w:rPr>
          <w:rFonts w:hint="default" w:eastAsia="宋体" w:cs="Times New Roman" w:asciiTheme="minorEastAsia" w:hAnsiTheme="minorEastAsia"/>
          <w:sz w:val="1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18"/>
        </w:rPr>
        <w:t>2计算规则：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清单项目合价（Item[FormulaCode=A1]下最后一层清单项目的金额(Item.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Sum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)）= 清单项目单价(Item.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Price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)*数量(Item.</w:t>
      </w:r>
      <w:r>
        <w:rPr>
          <w:rFonts w:hint="default" w:eastAsia="宋体" w:cs="Times New Roman" w:asciiTheme="minorEastAsia" w:hAnsiTheme="minorEastAsia"/>
          <w:sz w:val="18"/>
          <w:lang w:val="en-US" w:eastAsia="zh-CN"/>
        </w:rPr>
        <w:t>Num</w:t>
      </w:r>
      <w:r>
        <w:rPr>
          <w:rFonts w:hint="eastAsia" w:eastAsia="宋体" w:cs="Times New Roman" w:asciiTheme="minorEastAsia" w:hAnsiTheme="minorEastAsia"/>
          <w:sz w:val="18"/>
          <w:lang w:val="en-US" w:eastAsia="zh-CN"/>
        </w:rPr>
        <w:t>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Iy4A4bAgAAK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TE5MmM3MWVjNTlmZTRlNGUzYTdkOTUyOWJlY2QifQ=="/>
  </w:docVars>
  <w:rsids>
    <w:rsidRoot w:val="00172A27"/>
    <w:rsid w:val="001A0E37"/>
    <w:rsid w:val="00DB27E0"/>
    <w:rsid w:val="022507FE"/>
    <w:rsid w:val="02C80459"/>
    <w:rsid w:val="02EF7132"/>
    <w:rsid w:val="04FF1CC2"/>
    <w:rsid w:val="06143F07"/>
    <w:rsid w:val="0778383C"/>
    <w:rsid w:val="079B7E3C"/>
    <w:rsid w:val="08030516"/>
    <w:rsid w:val="09E21E49"/>
    <w:rsid w:val="0AA30D19"/>
    <w:rsid w:val="0BA22851"/>
    <w:rsid w:val="0D6D79C6"/>
    <w:rsid w:val="0E1C0A3B"/>
    <w:rsid w:val="0FDA4F44"/>
    <w:rsid w:val="108F1B03"/>
    <w:rsid w:val="10D53821"/>
    <w:rsid w:val="12A54B95"/>
    <w:rsid w:val="12D34280"/>
    <w:rsid w:val="12E23FA9"/>
    <w:rsid w:val="13335CBC"/>
    <w:rsid w:val="153603B7"/>
    <w:rsid w:val="171B390A"/>
    <w:rsid w:val="179F162A"/>
    <w:rsid w:val="1B0E1005"/>
    <w:rsid w:val="1B0F6069"/>
    <w:rsid w:val="1B7A02E5"/>
    <w:rsid w:val="1C256201"/>
    <w:rsid w:val="1D4A2066"/>
    <w:rsid w:val="1D731164"/>
    <w:rsid w:val="1E0B06DC"/>
    <w:rsid w:val="1E802D43"/>
    <w:rsid w:val="1F085C73"/>
    <w:rsid w:val="1F8F4D80"/>
    <w:rsid w:val="1FB66008"/>
    <w:rsid w:val="224B4A68"/>
    <w:rsid w:val="25575490"/>
    <w:rsid w:val="25B1070F"/>
    <w:rsid w:val="29F72B8B"/>
    <w:rsid w:val="2AF30EF7"/>
    <w:rsid w:val="2E39588A"/>
    <w:rsid w:val="2E7B5EE9"/>
    <w:rsid w:val="2F3B4EEB"/>
    <w:rsid w:val="2FA33530"/>
    <w:rsid w:val="2FC75471"/>
    <w:rsid w:val="30600FF7"/>
    <w:rsid w:val="30CD4D80"/>
    <w:rsid w:val="31070655"/>
    <w:rsid w:val="316C6385"/>
    <w:rsid w:val="32CE4E89"/>
    <w:rsid w:val="32DE2D20"/>
    <w:rsid w:val="33060725"/>
    <w:rsid w:val="33AD6265"/>
    <w:rsid w:val="36E321D7"/>
    <w:rsid w:val="377571A5"/>
    <w:rsid w:val="37ED7A3F"/>
    <w:rsid w:val="388C65B4"/>
    <w:rsid w:val="38B24A02"/>
    <w:rsid w:val="394B50E4"/>
    <w:rsid w:val="396106E4"/>
    <w:rsid w:val="39F045DE"/>
    <w:rsid w:val="3B905103"/>
    <w:rsid w:val="3C37208A"/>
    <w:rsid w:val="3C7C0693"/>
    <w:rsid w:val="3C9644F7"/>
    <w:rsid w:val="3CFA5C50"/>
    <w:rsid w:val="3EBC2510"/>
    <w:rsid w:val="3EF55065"/>
    <w:rsid w:val="3F0F1038"/>
    <w:rsid w:val="405677B5"/>
    <w:rsid w:val="40D206D5"/>
    <w:rsid w:val="42CB4331"/>
    <w:rsid w:val="43CD2923"/>
    <w:rsid w:val="44A6065D"/>
    <w:rsid w:val="45DB59D0"/>
    <w:rsid w:val="46454EEA"/>
    <w:rsid w:val="46976CAE"/>
    <w:rsid w:val="475E7A8B"/>
    <w:rsid w:val="476D7D79"/>
    <w:rsid w:val="491B3F53"/>
    <w:rsid w:val="49252DD2"/>
    <w:rsid w:val="49870F27"/>
    <w:rsid w:val="4A7A5B65"/>
    <w:rsid w:val="4C03562B"/>
    <w:rsid w:val="4C1E11B7"/>
    <w:rsid w:val="4D102474"/>
    <w:rsid w:val="4D1F1116"/>
    <w:rsid w:val="4D5C0C29"/>
    <w:rsid w:val="4D826D77"/>
    <w:rsid w:val="4F3366A9"/>
    <w:rsid w:val="510B0D02"/>
    <w:rsid w:val="52A93FEF"/>
    <w:rsid w:val="54C5286F"/>
    <w:rsid w:val="55E069DD"/>
    <w:rsid w:val="567736B1"/>
    <w:rsid w:val="5A047ECF"/>
    <w:rsid w:val="5B61411C"/>
    <w:rsid w:val="5C5A0930"/>
    <w:rsid w:val="5CB16DDC"/>
    <w:rsid w:val="5D035CDC"/>
    <w:rsid w:val="5E015B81"/>
    <w:rsid w:val="60621DFA"/>
    <w:rsid w:val="622F01EF"/>
    <w:rsid w:val="63446DA1"/>
    <w:rsid w:val="65E52D76"/>
    <w:rsid w:val="67BB7644"/>
    <w:rsid w:val="68863217"/>
    <w:rsid w:val="696A0B24"/>
    <w:rsid w:val="699E02E9"/>
    <w:rsid w:val="6AA36AD3"/>
    <w:rsid w:val="6BB003FD"/>
    <w:rsid w:val="6BC91795"/>
    <w:rsid w:val="6BE866DE"/>
    <w:rsid w:val="6D3E77DC"/>
    <w:rsid w:val="6D496A43"/>
    <w:rsid w:val="6E227324"/>
    <w:rsid w:val="6E4877A3"/>
    <w:rsid w:val="6EA2629B"/>
    <w:rsid w:val="6EE97E30"/>
    <w:rsid w:val="707C47B4"/>
    <w:rsid w:val="71050FEB"/>
    <w:rsid w:val="72F44936"/>
    <w:rsid w:val="743B6785"/>
    <w:rsid w:val="744B76EA"/>
    <w:rsid w:val="74F470FA"/>
    <w:rsid w:val="759F39F8"/>
    <w:rsid w:val="76031347"/>
    <w:rsid w:val="761326B2"/>
    <w:rsid w:val="774938F5"/>
    <w:rsid w:val="781E098B"/>
    <w:rsid w:val="79B25EDD"/>
    <w:rsid w:val="7B051010"/>
    <w:rsid w:val="7B5253AD"/>
    <w:rsid w:val="7C5B3F43"/>
    <w:rsid w:val="7DFD72AF"/>
    <w:rsid w:val="7F2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段落内容"/>
    <w:basedOn w:val="1"/>
    <w:qFormat/>
    <w:uiPriority w:val="0"/>
    <w:pPr>
      <w:ind w:firstLine="200" w:firstLineChars="200"/>
      <w:jc w:val="left"/>
    </w:pPr>
    <w:rPr>
      <w:kern w:val="0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1299</Words>
  <Characters>1635</Characters>
  <Lines>0</Lines>
  <Paragraphs>0</Paragraphs>
  <TotalTime>0</TotalTime>
  <ScaleCrop>false</ScaleCrop>
  <LinksUpToDate>false</LinksUpToDate>
  <CharactersWithSpaces>1649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2022-08-25T08:52:00Z</dcterms:created>
  <dc:creator>Geliang</dc:creator>
  <cp:lastModifiedBy>jyzx</cp:lastModifiedBy>
  <cp:lastPrinted>2022-09-26T13:56:00Z</cp:lastPrinted>
  <dcterms:modified xsi:type="dcterms:W3CDTF">2022-11-04T09:36:36Z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BF6376706BB24ED8AE26082B90AAA573</vt:lpwstr>
  </property>
</Properties>
</file>